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ajorEastAsia"/>
        </w:rPr>
        <w:id w:val="14978831"/>
        <w:docPartObj>
          <w:docPartGallery w:val="Cover Pages"/>
          <w:docPartUnique/>
        </w:docPartObj>
      </w:sdtPr>
      <w:sdtEndPr>
        <w:rPr>
          <w:rFonts w:eastAsiaTheme="minorEastAsia"/>
        </w:rPr>
      </w:sdtEndPr>
      <w:sdtContent>
        <w:tbl>
          <w:tblPr>
            <w:tblW w:w="5355" w:type="pct"/>
            <w:jc w:val="center"/>
            <w:tblLook w:val="04A0" w:firstRow="1" w:lastRow="0" w:firstColumn="1" w:lastColumn="0" w:noHBand="0" w:noVBand="1"/>
          </w:tblPr>
          <w:tblGrid>
            <w:gridCol w:w="9947"/>
          </w:tblGrid>
          <w:tr w:rsidR="001C37F2" w:rsidTr="00E02A0C">
            <w:trPr>
              <w:trHeight w:val="3006"/>
              <w:jc w:val="center"/>
            </w:trPr>
            <w:sdt>
              <w:sdtPr>
                <w:rPr>
                  <w:rFonts w:eastAsiaTheme="majorEastAsia"/>
                </w:rPr>
                <w:alias w:val="Společnost"/>
                <w:id w:val="15524243"/>
                <w:dataBinding w:prefixMappings="xmlns:ns0='http://schemas.openxmlformats.org/officeDocument/2006/extended-properties'" w:xpath="/ns0:Properties[1]/ns0:Company[1]" w:storeItemID="{6668398D-A668-4E3E-A5EB-62B293D839F1}"/>
                <w:text/>
              </w:sdtPr>
              <w:sdtEndPr>
                <w:rPr>
                  <w:sz w:val="20"/>
                </w:rPr>
              </w:sdtEndPr>
              <w:sdtContent>
                <w:tc>
                  <w:tcPr>
                    <w:tcW w:w="5000" w:type="pct"/>
                  </w:tcPr>
                  <w:p w:rsidR="001C37F2" w:rsidRPr="00F753CB" w:rsidRDefault="00F753CB" w:rsidP="00FF7747">
                    <w:r w:rsidRPr="00E02A0C">
                      <w:rPr>
                        <w:rFonts w:eastAsiaTheme="majorEastAsia"/>
                        <w:sz w:val="20"/>
                      </w:rPr>
                      <w:t>BUILDING-INVESTMENT S.R.O., PROJEKTOVÁ KANCELÁŘ POZEMNÍCH A DOPRAVNÍCH STAVEB</w:t>
                    </w:r>
                  </w:p>
                </w:tc>
              </w:sdtContent>
            </w:sdt>
          </w:tr>
          <w:tr w:rsidR="001C37F2" w:rsidTr="00E02A0C">
            <w:trPr>
              <w:trHeight w:val="1504"/>
              <w:jc w:val="center"/>
            </w:trPr>
            <w:sdt>
              <w:sdtPr>
                <w:rPr>
                  <w:rFonts w:ascii="Arial" w:eastAsiaTheme="majorEastAsia" w:hAnsi="Arial" w:cs="Arial"/>
                  <w:b/>
                  <w:color w:val="000000" w:themeColor="text1"/>
                  <w:sz w:val="40"/>
                  <w:szCs w:val="44"/>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C37F2" w:rsidRPr="00EB18B1" w:rsidRDefault="007B1F6E" w:rsidP="00B47C68">
                    <w:pPr>
                      <w:pStyle w:val="Bezmezer"/>
                      <w:jc w:val="center"/>
                      <w:rPr>
                        <w:rFonts w:ascii="Arial" w:eastAsiaTheme="majorEastAsia" w:hAnsi="Arial" w:cs="Arial"/>
                        <w:sz w:val="40"/>
                        <w:szCs w:val="80"/>
                      </w:rPr>
                    </w:pPr>
                    <w:proofErr w:type="gramStart"/>
                    <w:r>
                      <w:rPr>
                        <w:rFonts w:ascii="Arial" w:eastAsiaTheme="majorEastAsia" w:hAnsi="Arial" w:cs="Arial"/>
                        <w:b/>
                        <w:sz w:val="40"/>
                        <w:szCs w:val="44"/>
                      </w:rPr>
                      <w:t>E.</w:t>
                    </w:r>
                    <w:r w:rsidR="00A3531E">
                      <w:rPr>
                        <w:rFonts w:ascii="Arial" w:eastAsiaTheme="majorEastAsia" w:hAnsi="Arial" w:cs="Arial"/>
                        <w:b/>
                        <w:sz w:val="40"/>
                        <w:szCs w:val="44"/>
                      </w:rPr>
                      <w:t>1</w:t>
                    </w:r>
                    <w:r w:rsidR="002C4FB4" w:rsidRPr="00EB18B1">
                      <w:rPr>
                        <w:rFonts w:ascii="Arial" w:eastAsiaTheme="majorEastAsia" w:hAnsi="Arial" w:cs="Arial"/>
                        <w:b/>
                        <w:sz w:val="40"/>
                        <w:szCs w:val="44"/>
                      </w:rPr>
                      <w:t xml:space="preserve"> </w:t>
                    </w:r>
                    <w:r w:rsidR="00B47C68">
                      <w:rPr>
                        <w:rFonts w:ascii="Arial" w:eastAsiaTheme="majorEastAsia" w:hAnsi="Arial" w:cs="Arial"/>
                        <w:b/>
                        <w:sz w:val="40"/>
                        <w:szCs w:val="44"/>
                      </w:rPr>
                      <w:t>Textová</w:t>
                    </w:r>
                    <w:proofErr w:type="gramEnd"/>
                    <w:r w:rsidR="00B47C68">
                      <w:rPr>
                        <w:rFonts w:ascii="Arial" w:eastAsiaTheme="majorEastAsia" w:hAnsi="Arial" w:cs="Arial"/>
                        <w:b/>
                        <w:sz w:val="40"/>
                        <w:szCs w:val="44"/>
                      </w:rPr>
                      <w:t xml:space="preserve"> část (ZOV)</w:t>
                    </w:r>
                  </w:p>
                </w:tc>
              </w:sdtContent>
            </w:sdt>
          </w:tr>
          <w:tr w:rsidR="001C37F2" w:rsidTr="00E02A0C">
            <w:trPr>
              <w:trHeight w:val="751"/>
              <w:jc w:val="center"/>
            </w:trPr>
            <w:sdt>
              <w:sdtPr>
                <w:rPr>
                  <w:bCs/>
                  <w:sz w:val="52"/>
                </w:rPr>
                <w:alias w:val="Podtitul"/>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C37F2" w:rsidRPr="00EB18B1" w:rsidRDefault="00B242AD" w:rsidP="00EB18B1">
                    <w:pPr>
                      <w:pStyle w:val="Bezmezer"/>
                      <w:ind w:left="-142" w:right="-142"/>
                      <w:jc w:val="center"/>
                      <w:rPr>
                        <w:rFonts w:asciiTheme="majorHAnsi" w:eastAsiaTheme="majorEastAsia" w:hAnsiTheme="majorHAnsi" w:cstheme="majorBidi"/>
                        <w:sz w:val="44"/>
                        <w:szCs w:val="44"/>
                      </w:rPr>
                    </w:pPr>
                    <w:r w:rsidRPr="00B242AD">
                      <w:rPr>
                        <w:bCs/>
                        <w:sz w:val="52"/>
                      </w:rPr>
                      <w:t>Komunikace – Podnikatelský park Milevsko</w:t>
                    </w:r>
                  </w:p>
                </w:tc>
              </w:sdtContent>
            </w:sdt>
          </w:tr>
          <w:tr w:rsidR="001C37F2" w:rsidTr="00E02A0C">
            <w:trPr>
              <w:trHeight w:val="376"/>
              <w:jc w:val="center"/>
            </w:trPr>
            <w:tc>
              <w:tcPr>
                <w:tcW w:w="5000" w:type="pct"/>
                <w:vAlign w:val="center"/>
              </w:tcPr>
              <w:p w:rsidR="001C37F2" w:rsidRDefault="001C37F2">
                <w:pPr>
                  <w:pStyle w:val="Bezmezer"/>
                  <w:jc w:val="center"/>
                </w:pPr>
              </w:p>
            </w:tc>
          </w:tr>
          <w:tr w:rsidR="001C37F2" w:rsidRPr="00F753CB" w:rsidTr="00E02A0C">
            <w:trPr>
              <w:trHeight w:val="376"/>
              <w:jc w:val="center"/>
            </w:trPr>
            <w:sdt>
              <w:sdtPr>
                <w:rPr>
                  <w:rFonts w:ascii="Arial" w:hAnsi="Arial" w:cs="Arial"/>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1C37F2" w:rsidRPr="00F753CB" w:rsidRDefault="00B242AD" w:rsidP="005B4ED1">
                    <w:pPr>
                      <w:pStyle w:val="Bezmezer"/>
                      <w:jc w:val="center"/>
                      <w:rPr>
                        <w:rFonts w:ascii="Arial" w:hAnsi="Arial" w:cs="Arial"/>
                        <w:b/>
                        <w:bCs/>
                      </w:rPr>
                    </w:pPr>
                    <w:r>
                      <w:rPr>
                        <w:rFonts w:ascii="Arial" w:hAnsi="Arial" w:cs="Arial"/>
                        <w:b/>
                        <w:bCs/>
                      </w:rPr>
                      <w:t xml:space="preserve">Bc. </w:t>
                    </w:r>
                    <w:r w:rsidR="002C4FB4" w:rsidRPr="00F753CB">
                      <w:rPr>
                        <w:rFonts w:ascii="Arial" w:hAnsi="Arial" w:cs="Arial"/>
                        <w:b/>
                        <w:bCs/>
                      </w:rPr>
                      <w:t>Jakub Jeništa</w:t>
                    </w:r>
                    <w:r w:rsidR="00F753CB">
                      <w:rPr>
                        <w:rFonts w:ascii="Arial" w:hAnsi="Arial" w:cs="Arial"/>
                        <w:b/>
                        <w:bCs/>
                      </w:rPr>
                      <w:t xml:space="preserve">, </w:t>
                    </w:r>
                    <w:proofErr w:type="spellStart"/>
                    <w:r w:rsidR="00F753CB">
                      <w:rPr>
                        <w:rFonts w:ascii="Arial" w:hAnsi="Arial" w:cs="Arial"/>
                        <w:b/>
                        <w:bCs/>
                      </w:rPr>
                      <w:t>DiS</w:t>
                    </w:r>
                    <w:proofErr w:type="spellEnd"/>
                    <w:r w:rsidR="00F753CB">
                      <w:rPr>
                        <w:rFonts w:ascii="Arial" w:hAnsi="Arial" w:cs="Arial"/>
                        <w:b/>
                        <w:bCs/>
                      </w:rPr>
                      <w:t>.</w:t>
                    </w:r>
                  </w:p>
                </w:tc>
              </w:sdtContent>
            </w:sdt>
          </w:tr>
          <w:tr w:rsidR="001C37F2" w:rsidRPr="00F753CB" w:rsidTr="00E02A0C">
            <w:trPr>
              <w:trHeight w:val="376"/>
              <w:jc w:val="center"/>
            </w:trPr>
            <w:sdt>
              <w:sdtPr>
                <w:rPr>
                  <w:rFonts w:ascii="Arial" w:hAnsi="Arial" w:cs="Arial"/>
                  <w:b/>
                  <w:bCs/>
                </w:rPr>
                <w:alias w:val="Datum"/>
                <w:id w:val="516659546"/>
                <w:dataBinding w:prefixMappings="xmlns:ns0='http://schemas.microsoft.com/office/2006/coverPageProps'" w:xpath="/ns0:CoverPageProperties[1]/ns0:PublishDate[1]" w:storeItemID="{55AF091B-3C7A-41E3-B477-F2FDAA23CFDA}"/>
                <w:date w:fullDate="2019-01-31T00:00:00Z">
                  <w:dateFormat w:val="d.M.yyyy"/>
                  <w:lid w:val="cs-CZ"/>
                  <w:storeMappedDataAs w:val="dateTime"/>
                  <w:calendar w:val="gregorian"/>
                </w:date>
              </w:sdtPr>
              <w:sdtEndPr/>
              <w:sdtContent>
                <w:tc>
                  <w:tcPr>
                    <w:tcW w:w="5000" w:type="pct"/>
                    <w:vAlign w:val="center"/>
                  </w:tcPr>
                  <w:p w:rsidR="001C37F2" w:rsidRPr="00F753CB" w:rsidRDefault="00E15690" w:rsidP="00846BDE">
                    <w:pPr>
                      <w:pStyle w:val="Bezmezer"/>
                      <w:jc w:val="center"/>
                      <w:rPr>
                        <w:rFonts w:ascii="Arial" w:hAnsi="Arial" w:cs="Arial"/>
                        <w:b/>
                        <w:bCs/>
                      </w:rPr>
                    </w:pPr>
                    <w:proofErr w:type="gramStart"/>
                    <w:r>
                      <w:rPr>
                        <w:rFonts w:ascii="Arial" w:hAnsi="Arial" w:cs="Arial"/>
                        <w:b/>
                        <w:bCs/>
                      </w:rPr>
                      <w:t>31</w:t>
                    </w:r>
                    <w:r w:rsidR="00846BDE">
                      <w:rPr>
                        <w:rFonts w:ascii="Arial" w:hAnsi="Arial" w:cs="Arial"/>
                        <w:b/>
                        <w:bCs/>
                      </w:rPr>
                      <w:t>.1</w:t>
                    </w:r>
                    <w:r w:rsidR="00B242AD">
                      <w:rPr>
                        <w:rFonts w:ascii="Arial" w:hAnsi="Arial" w:cs="Arial"/>
                        <w:b/>
                        <w:bCs/>
                      </w:rPr>
                      <w:t>.201</w:t>
                    </w:r>
                    <w:r w:rsidR="00846BDE">
                      <w:rPr>
                        <w:rFonts w:ascii="Arial" w:hAnsi="Arial" w:cs="Arial"/>
                        <w:b/>
                        <w:bCs/>
                      </w:rPr>
                      <w:t>9</w:t>
                    </w:r>
                    <w:proofErr w:type="gramEnd"/>
                  </w:p>
                </w:tc>
              </w:sdtContent>
            </w:sdt>
          </w:tr>
        </w:tbl>
        <w:p w:rsidR="001C37F2" w:rsidRPr="00F753CB" w:rsidRDefault="00B242AD" w:rsidP="00FF7747">
          <w:r>
            <w:rPr>
              <w:noProof/>
            </w:rPr>
            <mc:AlternateContent>
              <mc:Choice Requires="wps">
                <w:drawing>
                  <wp:anchor distT="0" distB="0" distL="114300" distR="114300" simplePos="0" relativeHeight="251657216" behindDoc="0" locked="0" layoutInCell="1" allowOverlap="1" wp14:anchorId="545CD538" wp14:editId="086C9BE4">
                    <wp:simplePos x="0" y="0"/>
                    <wp:positionH relativeFrom="column">
                      <wp:posOffset>-4445</wp:posOffset>
                    </wp:positionH>
                    <wp:positionV relativeFrom="paragraph">
                      <wp:posOffset>-4092575</wp:posOffset>
                    </wp:positionV>
                    <wp:extent cx="5953125" cy="0"/>
                    <wp:effectExtent l="0" t="0" r="28575" b="19050"/>
                    <wp:wrapNone/>
                    <wp:docPr id="1" name="Přímá spojnice 1"/>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EE6D41" id="Přímá spojnice 1"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322.25pt" to="468.4pt,-3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Hg7wQEAAMIDAAAOAAAAZHJzL2Uyb0RvYy54bWysU8GO0zAQvSPtP1i+b5MUFUHUdA+7gguC&#10;CtgP8Drjxsj2WLZp0k/hyAfwFSv+i7HbZlcLEgJxmXjseTPz3kzWV5M1bA8hanQdbxY1Z+Ak9trt&#10;On776fXlS85iEq4XBh10/ACRX20unq1H38ISBzQ9BEZJXGxH3/EhJd9WVZQDWBEX6MHRo8JgRSI3&#10;7Ko+iJGyW1Mt6/pFNWLofUAJMdLtzfGRb0p+pUCm90pFSMx0nHpLxYZi77KtNmvR7oLwg5anNsQ/&#10;dGGFdlR0TnUjkmBfgv4lldUyYESVFhJthUppCYUDsWnqJ2w+DsJD4ULiRD/LFP9fWvluvw1M9zQ7&#10;zpywNKLtj6/33+39NxY9fnbUH2uyTKOPLUVfu204edFvQ+Y8qWDzl9iwqUh7mKWFKTFJl6tXq+fN&#10;csWZPL9VD0AfYnoDaFk+dNxol1mLVuzfxkTFKPQcQk5u5Fi6nNLBQA427gMoYkLFmoIuOwTXJrC9&#10;oOkLKcGlQoXylegMU9qYGVj/GXiKz1Ao+/U34BlRKqNLM9hqh+F31dN0blkd488KHHlnCe6wP5Sh&#10;FGloUYpip6XOm/jYL/CHX2/zEwAA//8DAFBLAwQUAAYACAAAACEAZs9G2eAAAAALAQAADwAAAGRy&#10;cy9kb3ducmV2LnhtbEyPQU+DQBCF7yb+h82YeDHtogJWZGnUpOlBjbH4A7bsCER2lrALpf56x4PR&#10;02Tmvbz5Xr6ebScmHHzrSMHlMgKBVDnTUq3gvdwsViB80GR05wgVHNHDujg9yXVm3IHecNqFWnAI&#10;+UwraELoMyl91aDVful6JNY+3GB14HWopRn0gcNtJ6+iKJVWt8QfGt3jY4PV5260CrabB3xKjmMd&#10;m2RbXkzl88vX60qp87P5/g5EwDn8meEHn9GhYKa9G8l40SlY3LCRRxrHCQg23F6n3GX/e5JFLv93&#10;KL4BAAD//wMAUEsBAi0AFAAGAAgAAAAhALaDOJL+AAAA4QEAABMAAAAAAAAAAAAAAAAAAAAAAFtD&#10;b250ZW50X1R5cGVzXS54bWxQSwECLQAUAAYACAAAACEAOP0h/9YAAACUAQAACwAAAAAAAAAAAAAA&#10;AAAvAQAAX3JlbHMvLnJlbHNQSwECLQAUAAYACAAAACEAw+x4O8EBAADCAwAADgAAAAAAAAAAAAAA&#10;AAAuAgAAZHJzL2Uyb0RvYy54bWxQSwECLQAUAAYACAAAACEAZs9G2eAAAAALAQAADwAAAAAAAAAA&#10;AAAAAAAbBAAAZHJzL2Rvd25yZXYueG1sUEsFBgAAAAAEAAQA8wAAACgFAAAAAA==&#10;" strokecolor="#4579b8 [3044]"/>
                </w:pict>
              </mc:Fallback>
            </mc:AlternateContent>
          </w:r>
        </w:p>
        <w:p w:rsidR="001C37F2" w:rsidRDefault="001C37F2" w:rsidP="00FF7747"/>
        <w:tbl>
          <w:tblPr>
            <w:tblpPr w:leftFromText="187" w:rightFromText="187" w:horzAnchor="margin" w:tblpXSpec="center" w:tblpYSpec="bottom"/>
            <w:tblW w:w="5105" w:type="pct"/>
            <w:tblLook w:val="04A0" w:firstRow="1" w:lastRow="0" w:firstColumn="1" w:lastColumn="0" w:noHBand="0" w:noVBand="1"/>
          </w:tblPr>
          <w:tblGrid>
            <w:gridCol w:w="9483"/>
          </w:tblGrid>
          <w:tr w:rsidR="001C37F2" w:rsidTr="00F34BA0">
            <w:trPr>
              <w:trHeight w:val="436"/>
            </w:trPr>
            <w:sdt>
              <w:sdtPr>
                <w:rPr>
                  <w:rFonts w:ascii="Arial" w:hAnsi="Arial" w:cs="Arial"/>
                  <w:i/>
                  <w:iCs/>
                  <w:sz w:val="18"/>
                  <w:szCs w:val="19"/>
                  <w:u w:val="single"/>
                </w:rPr>
                <w:alias w:val="Shrnutí"/>
                <w:id w:val="8276291"/>
                <w:dataBinding w:prefixMappings="xmlns:ns0='http://schemas.microsoft.com/office/2006/coverPageProps'" w:xpath="/ns0:CoverPageProperties[1]/ns0:Abstract[1]" w:storeItemID="{55AF091B-3C7A-41E3-B477-F2FDAA23CFDA}"/>
                <w:text/>
              </w:sdtPr>
              <w:sdtEndPr/>
              <w:sdtContent>
                <w:tc>
                  <w:tcPr>
                    <w:tcW w:w="5000" w:type="pct"/>
                  </w:tcPr>
                  <w:p w:rsidR="001C37F2" w:rsidRDefault="00767DB7" w:rsidP="00A91811">
                    <w:pPr>
                      <w:pStyle w:val="Bezmezer"/>
                    </w:pPr>
                    <w:r>
                      <w:rPr>
                        <w:rFonts w:ascii="Arial" w:hAnsi="Arial" w:cs="Arial"/>
                        <w:i/>
                        <w:iCs/>
                        <w:sz w:val="18"/>
                        <w:szCs w:val="19"/>
                        <w:u w:val="single"/>
                      </w:rPr>
                      <w:t xml:space="preserve">Building-Investment, s.r.o., </w:t>
                    </w:r>
                    <w:proofErr w:type="spellStart"/>
                    <w:proofErr w:type="gramStart"/>
                    <w:r>
                      <w:rPr>
                        <w:rFonts w:ascii="Arial" w:hAnsi="Arial" w:cs="Arial"/>
                        <w:i/>
                        <w:iCs/>
                        <w:sz w:val="18"/>
                        <w:szCs w:val="19"/>
                        <w:u w:val="single"/>
                      </w:rPr>
                      <w:t>arch.Dubského</w:t>
                    </w:r>
                    <w:proofErr w:type="spellEnd"/>
                    <w:proofErr w:type="gramEnd"/>
                    <w:r>
                      <w:rPr>
                        <w:rFonts w:ascii="Arial" w:hAnsi="Arial" w:cs="Arial"/>
                        <w:i/>
                        <w:iCs/>
                        <w:sz w:val="18"/>
                        <w:szCs w:val="19"/>
                        <w:u w:val="single"/>
                      </w:rPr>
                      <w:t xml:space="preserve"> 387, 38601 Strakonice, www.build-in.cz, tel: 602 145 242, 731 406 007 </w:t>
                    </w:r>
                  </w:p>
                </w:tc>
              </w:sdtContent>
            </w:sdt>
          </w:tr>
        </w:tbl>
        <w:p w:rsidR="001C37F2" w:rsidRDefault="00AD43EB" w:rsidP="00FF7747">
          <w:bookmarkStart w:id="0" w:name="_GoBack"/>
          <w:bookmarkEnd w:id="0"/>
          <w:r>
            <w:rPr>
              <w:noProof/>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153.75pt;height:3in;z-index:251660288;mso-position-horizontal:left;mso-position-horizontal-relative:text;mso-position-vertical-relative:text">
                <v:imagedata r:id="rId9" o:title=""/>
                <w10:wrap type="square" side="right"/>
              </v:shape>
              <o:OLEObject Type="Embed" ProgID="AutoCAD.Drawing.18" ShapeID="_x0000_s1027" DrawAspect="Content" ObjectID="_1622406723" r:id="rId10"/>
            </w:object>
          </w:r>
          <w:r w:rsidR="005B4ED1">
            <w:br w:type="textWrapping" w:clear="all"/>
          </w:r>
        </w:p>
        <w:p w:rsidR="00E02A0C" w:rsidRDefault="001C37F2" w:rsidP="00FF7747">
          <w:r>
            <w:br w:type="page"/>
          </w:r>
        </w:p>
        <w:p w:rsidR="001C37F2" w:rsidRDefault="00AD43EB" w:rsidP="00FF7747"/>
      </w:sdtContent>
    </w:sdt>
    <w:sdt>
      <w:sdtPr>
        <w:id w:val="14978807"/>
        <w:docPartObj>
          <w:docPartGallery w:val="Table of Contents"/>
          <w:docPartUnique/>
        </w:docPartObj>
      </w:sdtPr>
      <w:sdtEndPr/>
      <w:sdtContent>
        <w:p w:rsidR="002D4294" w:rsidRDefault="002D4294" w:rsidP="00FF7747">
          <w:r w:rsidRPr="001C71E6">
            <w:t>Obsah</w:t>
          </w:r>
        </w:p>
        <w:p w:rsidR="00E02A0C" w:rsidRDefault="00142262">
          <w:pPr>
            <w:pStyle w:val="Obsah2"/>
            <w:rPr>
              <w:rFonts w:asciiTheme="minorHAnsi" w:hAnsiTheme="minorHAnsi" w:cstheme="minorBidi"/>
              <w:noProof/>
            </w:rPr>
          </w:pPr>
          <w:r>
            <w:fldChar w:fldCharType="begin"/>
          </w:r>
          <w:r w:rsidR="002D4294">
            <w:instrText xml:space="preserve"> TOC \o "1-3" \h \z \u </w:instrText>
          </w:r>
          <w:r>
            <w:fldChar w:fldCharType="separate"/>
          </w:r>
          <w:hyperlink w:anchor="_Toc354559446" w:history="1">
            <w:r w:rsidR="00E02A0C" w:rsidRPr="00D27614">
              <w:rPr>
                <w:rStyle w:val="Hypertextovodkaz"/>
                <w:noProof/>
              </w:rPr>
              <w:t>a) Charakteristika staveniště</w:t>
            </w:r>
            <w:r w:rsidR="00E02A0C">
              <w:rPr>
                <w:noProof/>
                <w:webHidden/>
              </w:rPr>
              <w:tab/>
            </w:r>
            <w:r w:rsidR="00E02A0C">
              <w:rPr>
                <w:noProof/>
                <w:webHidden/>
              </w:rPr>
              <w:fldChar w:fldCharType="begin"/>
            </w:r>
            <w:r w:rsidR="00E02A0C">
              <w:rPr>
                <w:noProof/>
                <w:webHidden/>
              </w:rPr>
              <w:instrText xml:space="preserve"> PAGEREF _Toc354559446 \h </w:instrText>
            </w:r>
            <w:r w:rsidR="00E02A0C">
              <w:rPr>
                <w:noProof/>
                <w:webHidden/>
              </w:rPr>
            </w:r>
            <w:r w:rsidR="00E02A0C">
              <w:rPr>
                <w:noProof/>
                <w:webHidden/>
              </w:rPr>
              <w:fldChar w:fldCharType="separate"/>
            </w:r>
            <w:r w:rsidR="00BD7968">
              <w:rPr>
                <w:noProof/>
                <w:webHidden/>
              </w:rPr>
              <w:t>3</w:t>
            </w:r>
            <w:r w:rsidR="00E02A0C">
              <w:rPr>
                <w:noProof/>
                <w:webHidden/>
              </w:rPr>
              <w:fldChar w:fldCharType="end"/>
            </w:r>
          </w:hyperlink>
        </w:p>
        <w:p w:rsidR="00E02A0C" w:rsidRDefault="00AD43EB">
          <w:pPr>
            <w:pStyle w:val="Obsah2"/>
            <w:rPr>
              <w:rFonts w:asciiTheme="minorHAnsi" w:hAnsiTheme="minorHAnsi" w:cstheme="minorBidi"/>
              <w:noProof/>
            </w:rPr>
          </w:pPr>
          <w:hyperlink w:anchor="_Toc354559447" w:history="1">
            <w:r w:rsidR="00E02A0C" w:rsidRPr="00D27614">
              <w:rPr>
                <w:rStyle w:val="Hypertextovodkaz"/>
                <w:noProof/>
              </w:rPr>
              <w:t>b) Napojení staveniště na zdroje vody, elektřiny, odvodnění staveniště apod</w:t>
            </w:r>
            <w:r w:rsidR="00E02A0C" w:rsidRPr="00D27614">
              <w:rPr>
                <w:rStyle w:val="Hypertextovodkaz"/>
                <w:rFonts w:ascii="Arial-BoldMT" w:hAnsi="Arial-BoldMT" w:cs="Arial-BoldMT"/>
                <w:noProof/>
              </w:rPr>
              <w:t>.</w:t>
            </w:r>
            <w:r w:rsidR="00E02A0C">
              <w:rPr>
                <w:noProof/>
                <w:webHidden/>
              </w:rPr>
              <w:tab/>
            </w:r>
            <w:r w:rsidR="00E02A0C">
              <w:rPr>
                <w:noProof/>
                <w:webHidden/>
              </w:rPr>
              <w:fldChar w:fldCharType="begin"/>
            </w:r>
            <w:r w:rsidR="00E02A0C">
              <w:rPr>
                <w:noProof/>
                <w:webHidden/>
              </w:rPr>
              <w:instrText xml:space="preserve"> PAGEREF _Toc354559447 \h </w:instrText>
            </w:r>
            <w:r w:rsidR="00E02A0C">
              <w:rPr>
                <w:noProof/>
                <w:webHidden/>
              </w:rPr>
            </w:r>
            <w:r w:rsidR="00E02A0C">
              <w:rPr>
                <w:noProof/>
                <w:webHidden/>
              </w:rPr>
              <w:fldChar w:fldCharType="separate"/>
            </w:r>
            <w:r w:rsidR="00BD7968">
              <w:rPr>
                <w:noProof/>
                <w:webHidden/>
              </w:rPr>
              <w:t>3</w:t>
            </w:r>
            <w:r w:rsidR="00E02A0C">
              <w:rPr>
                <w:noProof/>
                <w:webHidden/>
              </w:rPr>
              <w:fldChar w:fldCharType="end"/>
            </w:r>
          </w:hyperlink>
        </w:p>
        <w:p w:rsidR="00E02A0C" w:rsidRDefault="00AD43EB">
          <w:pPr>
            <w:pStyle w:val="Obsah2"/>
            <w:rPr>
              <w:rFonts w:asciiTheme="minorHAnsi" w:hAnsiTheme="minorHAnsi" w:cstheme="minorBidi"/>
              <w:noProof/>
            </w:rPr>
          </w:pPr>
          <w:hyperlink w:anchor="_Toc354559448" w:history="1">
            <w:r w:rsidR="00E02A0C" w:rsidRPr="00D27614">
              <w:rPr>
                <w:rStyle w:val="Hypertextovodkaz"/>
                <w:noProof/>
              </w:rPr>
              <w:t>c) Přístupy na staveniště</w:t>
            </w:r>
            <w:r w:rsidR="00E02A0C">
              <w:rPr>
                <w:noProof/>
                <w:webHidden/>
              </w:rPr>
              <w:tab/>
            </w:r>
            <w:r w:rsidR="00E02A0C">
              <w:rPr>
                <w:noProof/>
                <w:webHidden/>
              </w:rPr>
              <w:fldChar w:fldCharType="begin"/>
            </w:r>
            <w:r w:rsidR="00E02A0C">
              <w:rPr>
                <w:noProof/>
                <w:webHidden/>
              </w:rPr>
              <w:instrText xml:space="preserve"> PAGEREF _Toc354559448 \h </w:instrText>
            </w:r>
            <w:r w:rsidR="00E02A0C">
              <w:rPr>
                <w:noProof/>
                <w:webHidden/>
              </w:rPr>
            </w:r>
            <w:r w:rsidR="00E02A0C">
              <w:rPr>
                <w:noProof/>
                <w:webHidden/>
              </w:rPr>
              <w:fldChar w:fldCharType="separate"/>
            </w:r>
            <w:r w:rsidR="00BD7968">
              <w:rPr>
                <w:noProof/>
                <w:webHidden/>
              </w:rPr>
              <w:t>3</w:t>
            </w:r>
            <w:r w:rsidR="00E02A0C">
              <w:rPr>
                <w:noProof/>
                <w:webHidden/>
              </w:rPr>
              <w:fldChar w:fldCharType="end"/>
            </w:r>
          </w:hyperlink>
        </w:p>
        <w:p w:rsidR="00E02A0C" w:rsidRDefault="00AD43EB">
          <w:pPr>
            <w:pStyle w:val="Obsah2"/>
            <w:rPr>
              <w:rFonts w:asciiTheme="minorHAnsi" w:hAnsiTheme="minorHAnsi" w:cstheme="minorBidi"/>
              <w:noProof/>
            </w:rPr>
          </w:pPr>
          <w:hyperlink w:anchor="_Toc354559449" w:history="1">
            <w:r w:rsidR="00E02A0C" w:rsidRPr="00D27614">
              <w:rPr>
                <w:rStyle w:val="Hypertextovodkaz"/>
                <w:noProof/>
              </w:rPr>
              <w:t>d) Uspořádání a bezpečnost staveniště</w:t>
            </w:r>
            <w:r w:rsidR="00E02A0C">
              <w:rPr>
                <w:noProof/>
                <w:webHidden/>
              </w:rPr>
              <w:tab/>
            </w:r>
            <w:r w:rsidR="00E02A0C">
              <w:rPr>
                <w:noProof/>
                <w:webHidden/>
              </w:rPr>
              <w:fldChar w:fldCharType="begin"/>
            </w:r>
            <w:r w:rsidR="00E02A0C">
              <w:rPr>
                <w:noProof/>
                <w:webHidden/>
              </w:rPr>
              <w:instrText xml:space="preserve"> PAGEREF _Toc354559449 \h </w:instrText>
            </w:r>
            <w:r w:rsidR="00E02A0C">
              <w:rPr>
                <w:noProof/>
                <w:webHidden/>
              </w:rPr>
            </w:r>
            <w:r w:rsidR="00E02A0C">
              <w:rPr>
                <w:noProof/>
                <w:webHidden/>
              </w:rPr>
              <w:fldChar w:fldCharType="separate"/>
            </w:r>
            <w:r w:rsidR="00BD7968">
              <w:rPr>
                <w:noProof/>
                <w:webHidden/>
              </w:rPr>
              <w:t>3</w:t>
            </w:r>
            <w:r w:rsidR="00E02A0C">
              <w:rPr>
                <w:noProof/>
                <w:webHidden/>
              </w:rPr>
              <w:fldChar w:fldCharType="end"/>
            </w:r>
          </w:hyperlink>
        </w:p>
        <w:p w:rsidR="00E02A0C" w:rsidRDefault="00AD43EB">
          <w:pPr>
            <w:pStyle w:val="Obsah2"/>
            <w:rPr>
              <w:rFonts w:asciiTheme="minorHAnsi" w:hAnsiTheme="minorHAnsi" w:cstheme="minorBidi"/>
              <w:noProof/>
            </w:rPr>
          </w:pPr>
          <w:hyperlink w:anchor="_Toc354559450" w:history="1">
            <w:r w:rsidR="00E02A0C" w:rsidRPr="00D27614">
              <w:rPr>
                <w:rStyle w:val="Hypertextovodkaz"/>
                <w:noProof/>
              </w:rPr>
              <w:t>e) Podmínky pro ochranu životního prostředí při výstavbě</w:t>
            </w:r>
            <w:r w:rsidR="00E02A0C">
              <w:rPr>
                <w:noProof/>
                <w:webHidden/>
              </w:rPr>
              <w:tab/>
            </w:r>
            <w:r w:rsidR="00E02A0C">
              <w:rPr>
                <w:noProof/>
                <w:webHidden/>
              </w:rPr>
              <w:fldChar w:fldCharType="begin"/>
            </w:r>
            <w:r w:rsidR="00E02A0C">
              <w:rPr>
                <w:noProof/>
                <w:webHidden/>
              </w:rPr>
              <w:instrText xml:space="preserve"> PAGEREF _Toc354559450 \h </w:instrText>
            </w:r>
            <w:r w:rsidR="00E02A0C">
              <w:rPr>
                <w:noProof/>
                <w:webHidden/>
              </w:rPr>
            </w:r>
            <w:r w:rsidR="00E02A0C">
              <w:rPr>
                <w:noProof/>
                <w:webHidden/>
              </w:rPr>
              <w:fldChar w:fldCharType="separate"/>
            </w:r>
            <w:r w:rsidR="00BD7968">
              <w:rPr>
                <w:noProof/>
                <w:webHidden/>
              </w:rPr>
              <w:t>4</w:t>
            </w:r>
            <w:r w:rsidR="00E02A0C">
              <w:rPr>
                <w:noProof/>
                <w:webHidden/>
              </w:rPr>
              <w:fldChar w:fldCharType="end"/>
            </w:r>
          </w:hyperlink>
        </w:p>
        <w:p w:rsidR="00E02A0C" w:rsidRDefault="00AD43EB">
          <w:pPr>
            <w:pStyle w:val="Obsah3"/>
            <w:tabs>
              <w:tab w:val="right" w:leader="dot" w:pos="9062"/>
            </w:tabs>
            <w:rPr>
              <w:rFonts w:asciiTheme="minorHAnsi" w:hAnsiTheme="minorHAnsi" w:cstheme="minorBidi"/>
              <w:noProof/>
            </w:rPr>
          </w:pPr>
          <w:hyperlink w:anchor="_Toc354559451" w:history="1">
            <w:r w:rsidR="00E02A0C" w:rsidRPr="00D27614">
              <w:rPr>
                <w:rStyle w:val="Hypertextovodkaz"/>
                <w:noProof/>
              </w:rPr>
              <w:t>1) Vliv stavby na okolí v průběhu výstavby</w:t>
            </w:r>
            <w:r w:rsidR="00E02A0C">
              <w:rPr>
                <w:noProof/>
                <w:webHidden/>
              </w:rPr>
              <w:tab/>
            </w:r>
            <w:r w:rsidR="00E02A0C">
              <w:rPr>
                <w:noProof/>
                <w:webHidden/>
              </w:rPr>
              <w:fldChar w:fldCharType="begin"/>
            </w:r>
            <w:r w:rsidR="00E02A0C">
              <w:rPr>
                <w:noProof/>
                <w:webHidden/>
              </w:rPr>
              <w:instrText xml:space="preserve"> PAGEREF _Toc354559451 \h </w:instrText>
            </w:r>
            <w:r w:rsidR="00E02A0C">
              <w:rPr>
                <w:noProof/>
                <w:webHidden/>
              </w:rPr>
            </w:r>
            <w:r w:rsidR="00E02A0C">
              <w:rPr>
                <w:noProof/>
                <w:webHidden/>
              </w:rPr>
              <w:fldChar w:fldCharType="separate"/>
            </w:r>
            <w:r w:rsidR="00BD7968">
              <w:rPr>
                <w:noProof/>
                <w:webHidden/>
              </w:rPr>
              <w:t>4</w:t>
            </w:r>
            <w:r w:rsidR="00E02A0C">
              <w:rPr>
                <w:noProof/>
                <w:webHidden/>
              </w:rPr>
              <w:fldChar w:fldCharType="end"/>
            </w:r>
          </w:hyperlink>
        </w:p>
        <w:p w:rsidR="00E02A0C" w:rsidRDefault="00AD43EB">
          <w:pPr>
            <w:pStyle w:val="Obsah3"/>
            <w:tabs>
              <w:tab w:val="right" w:leader="dot" w:pos="9062"/>
            </w:tabs>
            <w:rPr>
              <w:rFonts w:asciiTheme="minorHAnsi" w:hAnsiTheme="minorHAnsi" w:cstheme="minorBidi"/>
              <w:noProof/>
            </w:rPr>
          </w:pPr>
          <w:hyperlink w:anchor="_Toc354559452" w:history="1">
            <w:r w:rsidR="00E02A0C" w:rsidRPr="00D27614">
              <w:rPr>
                <w:rStyle w:val="Hypertextovodkaz"/>
                <w:noProof/>
              </w:rPr>
              <w:t>2) Ochrana zeleně</w:t>
            </w:r>
            <w:r w:rsidR="00E02A0C">
              <w:rPr>
                <w:noProof/>
                <w:webHidden/>
              </w:rPr>
              <w:tab/>
            </w:r>
            <w:r w:rsidR="00E02A0C">
              <w:rPr>
                <w:noProof/>
                <w:webHidden/>
              </w:rPr>
              <w:fldChar w:fldCharType="begin"/>
            </w:r>
            <w:r w:rsidR="00E02A0C">
              <w:rPr>
                <w:noProof/>
                <w:webHidden/>
              </w:rPr>
              <w:instrText xml:space="preserve"> PAGEREF _Toc354559452 \h </w:instrText>
            </w:r>
            <w:r w:rsidR="00E02A0C">
              <w:rPr>
                <w:noProof/>
                <w:webHidden/>
              </w:rPr>
            </w:r>
            <w:r w:rsidR="00E02A0C">
              <w:rPr>
                <w:noProof/>
                <w:webHidden/>
              </w:rPr>
              <w:fldChar w:fldCharType="separate"/>
            </w:r>
            <w:r w:rsidR="00BD7968">
              <w:rPr>
                <w:noProof/>
                <w:webHidden/>
              </w:rPr>
              <w:t>4</w:t>
            </w:r>
            <w:r w:rsidR="00E02A0C">
              <w:rPr>
                <w:noProof/>
                <w:webHidden/>
              </w:rPr>
              <w:fldChar w:fldCharType="end"/>
            </w:r>
          </w:hyperlink>
        </w:p>
        <w:p w:rsidR="00E02A0C" w:rsidRDefault="00AD43EB">
          <w:pPr>
            <w:pStyle w:val="Obsah3"/>
            <w:tabs>
              <w:tab w:val="right" w:leader="dot" w:pos="9062"/>
            </w:tabs>
            <w:rPr>
              <w:rFonts w:asciiTheme="minorHAnsi" w:hAnsiTheme="minorHAnsi" w:cstheme="minorBidi"/>
              <w:noProof/>
            </w:rPr>
          </w:pPr>
          <w:hyperlink w:anchor="_Toc354559453" w:history="1">
            <w:r w:rsidR="00E02A0C" w:rsidRPr="00D27614">
              <w:rPr>
                <w:rStyle w:val="Hypertextovodkaz"/>
                <w:noProof/>
              </w:rPr>
              <w:t>3) Odpad ze stavební činnosti</w:t>
            </w:r>
            <w:r w:rsidR="00E02A0C">
              <w:rPr>
                <w:noProof/>
                <w:webHidden/>
              </w:rPr>
              <w:tab/>
            </w:r>
            <w:r w:rsidR="00E02A0C">
              <w:rPr>
                <w:noProof/>
                <w:webHidden/>
              </w:rPr>
              <w:fldChar w:fldCharType="begin"/>
            </w:r>
            <w:r w:rsidR="00E02A0C">
              <w:rPr>
                <w:noProof/>
                <w:webHidden/>
              </w:rPr>
              <w:instrText xml:space="preserve"> PAGEREF _Toc354559453 \h </w:instrText>
            </w:r>
            <w:r w:rsidR="00E02A0C">
              <w:rPr>
                <w:noProof/>
                <w:webHidden/>
              </w:rPr>
            </w:r>
            <w:r w:rsidR="00E02A0C">
              <w:rPr>
                <w:noProof/>
                <w:webHidden/>
              </w:rPr>
              <w:fldChar w:fldCharType="separate"/>
            </w:r>
            <w:r w:rsidR="00BD7968">
              <w:rPr>
                <w:noProof/>
                <w:webHidden/>
              </w:rPr>
              <w:t>5</w:t>
            </w:r>
            <w:r w:rsidR="00E02A0C">
              <w:rPr>
                <w:noProof/>
                <w:webHidden/>
              </w:rPr>
              <w:fldChar w:fldCharType="end"/>
            </w:r>
          </w:hyperlink>
        </w:p>
        <w:p w:rsidR="00E02A0C" w:rsidRDefault="00AD43EB">
          <w:pPr>
            <w:pStyle w:val="Obsah2"/>
            <w:rPr>
              <w:rFonts w:asciiTheme="minorHAnsi" w:hAnsiTheme="minorHAnsi" w:cstheme="minorBidi"/>
              <w:noProof/>
            </w:rPr>
          </w:pPr>
          <w:hyperlink w:anchor="_Toc354559454" w:history="1">
            <w:r w:rsidR="00E02A0C" w:rsidRPr="00D27614">
              <w:rPr>
                <w:rStyle w:val="Hypertextovodkaz"/>
                <w:noProof/>
              </w:rPr>
              <w:t>f) Návrh DIO během výstavby</w:t>
            </w:r>
            <w:r w:rsidR="00E02A0C">
              <w:rPr>
                <w:noProof/>
                <w:webHidden/>
              </w:rPr>
              <w:tab/>
            </w:r>
            <w:r w:rsidR="00E02A0C">
              <w:rPr>
                <w:noProof/>
                <w:webHidden/>
              </w:rPr>
              <w:fldChar w:fldCharType="begin"/>
            </w:r>
            <w:r w:rsidR="00E02A0C">
              <w:rPr>
                <w:noProof/>
                <w:webHidden/>
              </w:rPr>
              <w:instrText xml:space="preserve"> PAGEREF _Toc354559454 \h </w:instrText>
            </w:r>
            <w:r w:rsidR="00E02A0C">
              <w:rPr>
                <w:noProof/>
                <w:webHidden/>
              </w:rPr>
            </w:r>
            <w:r w:rsidR="00E02A0C">
              <w:rPr>
                <w:noProof/>
                <w:webHidden/>
              </w:rPr>
              <w:fldChar w:fldCharType="separate"/>
            </w:r>
            <w:r w:rsidR="00BD7968">
              <w:rPr>
                <w:noProof/>
                <w:webHidden/>
              </w:rPr>
              <w:t>5</w:t>
            </w:r>
            <w:r w:rsidR="00E02A0C">
              <w:rPr>
                <w:noProof/>
                <w:webHidden/>
              </w:rPr>
              <w:fldChar w:fldCharType="end"/>
            </w:r>
          </w:hyperlink>
        </w:p>
        <w:p w:rsidR="002D4294" w:rsidRDefault="00142262" w:rsidP="00FF7747">
          <w:r>
            <w:fldChar w:fldCharType="end"/>
          </w:r>
        </w:p>
      </w:sdtContent>
    </w:sdt>
    <w:p w:rsidR="001955E6" w:rsidRDefault="002D4294" w:rsidP="00FF7747">
      <w:r>
        <w:br w:type="page"/>
      </w:r>
    </w:p>
    <w:p w:rsidR="009C17A8" w:rsidRPr="008C2C9C" w:rsidRDefault="009C17A8" w:rsidP="00FF7747">
      <w:pPr>
        <w:rPr>
          <w:szCs w:val="24"/>
        </w:rPr>
      </w:pPr>
      <w:r w:rsidRPr="008C2C9C">
        <w:rPr>
          <w:b/>
          <w:szCs w:val="24"/>
        </w:rPr>
        <w:lastRenderedPageBreak/>
        <w:t>Název stavby</w:t>
      </w:r>
      <w:r w:rsidRPr="008C2C9C">
        <w:rPr>
          <w:sz w:val="28"/>
        </w:rPr>
        <w:t xml:space="preserve">: </w:t>
      </w:r>
      <w:sdt>
        <w:sdtPr>
          <w:alias w:val="Podtitul"/>
          <w:id w:val="1181942226"/>
          <w:dataBinding w:prefixMappings="xmlns:ns0='http://schemas.openxmlformats.org/package/2006/metadata/core-properties' xmlns:ns1='http://purl.org/dc/elements/1.1/'" w:xpath="/ns0:coreProperties[1]/ns1:subject[1]" w:storeItemID="{6C3C8BC8-F283-45AE-878A-BAB7291924A1}"/>
          <w:text/>
        </w:sdtPr>
        <w:sdtEndPr/>
        <w:sdtContent>
          <w:r w:rsidR="00B242AD">
            <w:t>Komunikace – Podnikatelský park Milevsko</w:t>
          </w:r>
        </w:sdtContent>
      </w:sdt>
    </w:p>
    <w:p w:rsidR="009C17A8" w:rsidRPr="00EE4441" w:rsidRDefault="009C17A8" w:rsidP="00FF7747">
      <w:r w:rsidRPr="00B10C77">
        <w:t>Místo stavby:</w:t>
      </w:r>
      <w:r w:rsidRPr="00EE4441">
        <w:t xml:space="preserve"> </w:t>
      </w:r>
      <w:r w:rsidR="00612F39">
        <w:t>Milevsko, Dukelská ulice</w:t>
      </w:r>
    </w:p>
    <w:p w:rsidR="009C17A8" w:rsidRPr="001955E6" w:rsidRDefault="009C17A8" w:rsidP="00FF7747">
      <w:pPr>
        <w:pStyle w:val="Nadpis2"/>
      </w:pPr>
      <w:bookmarkStart w:id="1" w:name="_Toc354559446"/>
      <w:r>
        <w:t xml:space="preserve">a) </w:t>
      </w:r>
      <w:r w:rsidR="00F24984">
        <w:t>Charakteristika staveniště</w:t>
      </w:r>
      <w:bookmarkEnd w:id="1"/>
    </w:p>
    <w:p w:rsidR="008C4DB1" w:rsidRDefault="008C4DB1" w:rsidP="00FF7747">
      <w:r>
        <w:t>Pro plochu staveniště budou využity pozemky, na kterých se stavba nachází. Předpokládá se, že na stavbě bude zapotřebí skladovat po krátkou dobu vytěženou zeminu a prefabrikáty (obruby, dlažby atd.). Ostatní materiál pro stavbu bude přivážen těsně před zabudováním, takže nebude třeba veškerý materiál na staveništi skladovat. Přístup na staveniště bude probíhat přes místní komunikaci Dukelská ulice ze severu.</w:t>
      </w:r>
    </w:p>
    <w:p w:rsidR="008C4DB1" w:rsidRDefault="00B242AD" w:rsidP="00FF7747">
      <w:r>
        <w:t xml:space="preserve">Staveniště bude děleno na 2 části. </w:t>
      </w:r>
      <w:r w:rsidR="00C0640A">
        <w:t xml:space="preserve">V severní části bude prováděna výstavba chodníku mimo pozemní komunikace a dílčí úpravy stávajícího stavu jako přechodové místo a nové uliční vpusti. V jižní část stavby pak čítá </w:t>
      </w:r>
      <w:r>
        <w:t>plochu nové stavby a východní plochu mezi úseky 1 a 2, kde bude umístěn sklad materiálu, strojů a případně zázemí stavby (WC, staveništní buňka, atd. dle standardů dod</w:t>
      </w:r>
      <w:r w:rsidR="00612F39">
        <w:t>a</w:t>
      </w:r>
      <w:r>
        <w:t xml:space="preserve">vatele). </w:t>
      </w:r>
      <w:r w:rsidR="00C0640A">
        <w:t xml:space="preserve">Dle tohoto dělení bude možné provést jak realizaci, tak omezení provozu nebo úplnou uzavírku. </w:t>
      </w:r>
      <w:r w:rsidR="005A5EC6" w:rsidRPr="005A5EC6">
        <w:t xml:space="preserve">Stavební odpady budou vytříděny podle druhů a uloženy do velkoobjemového kontejneru na stavební odpad nebo bude stavební odpad přímo nakládán a vyvážen z místa vzniku k využití nebo k odstranění. </w:t>
      </w:r>
      <w:r>
        <w:t xml:space="preserve">Sběrný dvůr se nachází nedaleko </w:t>
      </w:r>
      <w:r w:rsidR="009657C1">
        <w:t xml:space="preserve">stavby </w:t>
      </w:r>
      <w:r>
        <w:t xml:space="preserve">na </w:t>
      </w:r>
      <w:r w:rsidR="009657C1">
        <w:t xml:space="preserve">jižním </w:t>
      </w:r>
      <w:r>
        <w:t xml:space="preserve">konci Dukelské ulice. </w:t>
      </w:r>
      <w:r w:rsidR="005A5EC6" w:rsidRPr="005A5EC6">
        <w:t>V případě uložení materiálu v kontejneru bude odpad zajištěn proti nežádoucímu znehodnocení nebo úniku.</w:t>
      </w:r>
    </w:p>
    <w:p w:rsidR="005A5EC6" w:rsidRPr="005A5EC6" w:rsidRDefault="008C4DB1" w:rsidP="00FF7747">
      <w:r>
        <w:t xml:space="preserve">K omezení dopravy při stavbě komunikací vzhledem ke stavbě </w:t>
      </w:r>
      <w:r w:rsidR="00C0640A">
        <w:t>hlavního úseku</w:t>
      </w:r>
      <w:r>
        <w:t xml:space="preserve"> mimo stávající dopravní cesty nedojde. Všechny vjezdy na stavbu komunikace budou označeny značkami Z2 „Zábrana pro označení uzavírky“. Jelikož se ovšem jedná o novou stavbu mimo navazující dopravní komunikace, není třeba ani nijak řešit objízdné trasy.</w:t>
      </w:r>
      <w:r w:rsidR="005A5EC6" w:rsidRPr="005A5EC6">
        <w:t xml:space="preserve"> </w:t>
      </w:r>
      <w:r w:rsidR="00C0640A">
        <w:t>K omezením dojde pouze při dílčích realizacích v severní části stavby chodníku.</w:t>
      </w:r>
    </w:p>
    <w:p w:rsidR="00F24984" w:rsidRPr="00F24984" w:rsidRDefault="005A5EC6" w:rsidP="00FF7747">
      <w:r w:rsidRPr="005A5EC6">
        <w:t>Provozem stavby nebude stávající stav životního prostředí nikterak zasažen. Je počítáno jen s dočasným zvýšením hluku a prachu během výstavby. Stavba bezprostředně nenavazuje na stávající objekty. Je třeba respektovat veškerá práva uživatelů sousedních objektů, tzn. dbát o co největší omezení hlučnosti stavebních strojů, omezené prašnosti a podobně. Budou provedena opatření proti hluku, prašnosti (zejména při zemních pracích a manipulaci se sutí) a k zamezení vynášení nečistot z místa stavby. Zhotovitel zajistí splnění podmínek orgánů životního prostředí.</w:t>
      </w:r>
    </w:p>
    <w:p w:rsidR="009C17A8" w:rsidRDefault="00F24984" w:rsidP="00FF7747">
      <w:pPr>
        <w:pStyle w:val="Nadpis2"/>
        <w:rPr>
          <w:rFonts w:ascii="Arial-BoldMT" w:hAnsi="Arial-BoldMT" w:cs="Arial-BoldMT"/>
        </w:rPr>
      </w:pPr>
      <w:bookmarkStart w:id="2" w:name="_Toc354559447"/>
      <w:r>
        <w:t>b</w:t>
      </w:r>
      <w:r w:rsidR="009C17A8">
        <w:t xml:space="preserve">) </w:t>
      </w:r>
      <w:r w:rsidR="009C17A8" w:rsidRPr="001955E6">
        <w:t>N</w:t>
      </w:r>
      <w:r w:rsidR="001955E6" w:rsidRPr="001955E6">
        <w:t>apojení</w:t>
      </w:r>
      <w:r w:rsidR="001955E6">
        <w:t xml:space="preserve"> </w:t>
      </w:r>
      <w:r w:rsidR="001955E6" w:rsidRPr="002074D3">
        <w:t>staveniště</w:t>
      </w:r>
      <w:r w:rsidR="001955E6">
        <w:t xml:space="preserve"> na zdroje vody, elektřiny, odvodnění staveniště </w:t>
      </w:r>
      <w:r w:rsidR="001955E6" w:rsidRPr="001955E6">
        <w:t>apod</w:t>
      </w:r>
      <w:r w:rsidR="009C17A8">
        <w:rPr>
          <w:rFonts w:ascii="Arial-BoldMT" w:hAnsi="Arial-BoldMT" w:cs="Arial-BoldMT"/>
        </w:rPr>
        <w:t>.</w:t>
      </w:r>
      <w:bookmarkEnd w:id="2"/>
    </w:p>
    <w:p w:rsidR="001955E6" w:rsidRPr="00FF7747" w:rsidRDefault="00375ADB" w:rsidP="00FF7747">
      <w:r w:rsidRPr="00FF7747">
        <w:t xml:space="preserve">Stavba svým charakterem </w:t>
      </w:r>
      <w:r w:rsidR="0095158A" w:rsidRPr="00FF7747">
        <w:t xml:space="preserve">nutně </w:t>
      </w:r>
      <w:r w:rsidRPr="00FF7747">
        <w:t xml:space="preserve">nevyžaduje žádné napojení na zdroj vody nebo elektřiny. </w:t>
      </w:r>
      <w:r w:rsidR="00F34BA0" w:rsidRPr="00FF7747">
        <w:t xml:space="preserve">Vzhledem k tomu, že </w:t>
      </w:r>
      <w:r w:rsidR="00B242AD">
        <w:t xml:space="preserve">se v blízkosti </w:t>
      </w:r>
      <w:r w:rsidR="00F34BA0" w:rsidRPr="00FF7747">
        <w:t xml:space="preserve">staveniště </w:t>
      </w:r>
      <w:r w:rsidR="00B242AD">
        <w:t xml:space="preserve">nachází </w:t>
      </w:r>
      <w:r w:rsidR="007B1F6E">
        <w:t>vedení NN elektřiny a vodovodní řad</w:t>
      </w:r>
      <w:r w:rsidR="00F34BA0" w:rsidRPr="00FF7747">
        <w:t>, je možné si u správců sítí požádat o připojení na inženýrské sítě.</w:t>
      </w:r>
      <w:r w:rsidRPr="00FF7747">
        <w:t xml:space="preserve"> Předpokládá se, že veškeré práce </w:t>
      </w:r>
      <w:r w:rsidR="00B242AD">
        <w:t xml:space="preserve">na vozovce </w:t>
      </w:r>
      <w:r w:rsidRPr="00FF7747">
        <w:t xml:space="preserve">budou prováděny strojně, </w:t>
      </w:r>
      <w:r w:rsidR="00B242AD">
        <w:t xml:space="preserve">dlažby a obruby </w:t>
      </w:r>
      <w:r w:rsidRPr="00FF7747">
        <w:t xml:space="preserve">pak manuálně. Odvodnění staveniště </w:t>
      </w:r>
      <w:r w:rsidR="00F24984" w:rsidRPr="00FF7747">
        <w:t xml:space="preserve">bude řešeno </w:t>
      </w:r>
      <w:r w:rsidR="00F34BA0" w:rsidRPr="00FF7747">
        <w:t xml:space="preserve">přes drenáže </w:t>
      </w:r>
      <w:r w:rsidR="00B242AD">
        <w:t>do nových dešťových</w:t>
      </w:r>
      <w:r w:rsidR="00F24984" w:rsidRPr="00FF7747">
        <w:t xml:space="preserve"> stok</w:t>
      </w:r>
      <w:r w:rsidR="007B1F6E">
        <w:t xml:space="preserve"> </w:t>
      </w:r>
      <w:r w:rsidR="00B242AD">
        <w:t>oddílného</w:t>
      </w:r>
      <w:r w:rsidR="007B1F6E">
        <w:t xml:space="preserve"> kanalizačního řadu</w:t>
      </w:r>
      <w:r w:rsidR="00F24984" w:rsidRPr="00FF7747">
        <w:t>.</w:t>
      </w:r>
      <w:r w:rsidR="008C4DB1">
        <w:t xml:space="preserve"> Pro pracovníky stavby bude zajištěno hygienické zařízení a to min. mobilní WC na stavbě nebo v dostupné vzdálenosti. </w:t>
      </w:r>
    </w:p>
    <w:p w:rsidR="009C17A8" w:rsidRPr="001955E6" w:rsidRDefault="00F24984" w:rsidP="00FF7747">
      <w:pPr>
        <w:pStyle w:val="Nadpis2"/>
      </w:pPr>
      <w:bookmarkStart w:id="3" w:name="_Toc354559448"/>
      <w:r>
        <w:t>c</w:t>
      </w:r>
      <w:r w:rsidR="002074D3">
        <w:t xml:space="preserve">) </w:t>
      </w:r>
      <w:r>
        <w:t>Přístupy na staveniště</w:t>
      </w:r>
      <w:bookmarkEnd w:id="3"/>
    </w:p>
    <w:p w:rsidR="00C062EE" w:rsidRDefault="00C062EE" w:rsidP="00C062EE">
      <w:bookmarkStart w:id="4" w:name="_Toc354559449"/>
      <w:r>
        <w:t>Příjezd na s</w:t>
      </w:r>
      <w:r w:rsidR="008C4DB1">
        <w:t>taveniště bude přímo z</w:t>
      </w:r>
      <w:r w:rsidR="00B242AD">
        <w:t xml:space="preserve"> místní komunikace – Dukelská ulice, </w:t>
      </w:r>
      <w:r w:rsidR="00612F39">
        <w:t>jejímž</w:t>
      </w:r>
      <w:r w:rsidR="008C4DB1">
        <w:t xml:space="preserve"> prodloužením je nový úsek 1 navržené MK.</w:t>
      </w:r>
      <w:r>
        <w:t xml:space="preserve"> Práce prováděné v průběhu stavby nebudou vyžadovat přepravu nadměrných nákladů. Dodavatel bude každodenně průběžně čistit veškeré případné nečistoty, které způsobil mimo svůj pracovní prostor.</w:t>
      </w:r>
    </w:p>
    <w:p w:rsidR="008C4DB1" w:rsidRDefault="008C4DB1" w:rsidP="00C062EE">
      <w:r>
        <w:lastRenderedPageBreak/>
        <w:t>Okolo celé stavby budou na dřevěných sloupcích umístěny cedulky s informací o stavbě a zákazu vstupu na staveniště. Mezi těmito jednotlivými sloupky bude staveniště ohraničeno červenobílou páskou. Plocha skladu staveniště a mechanizace pak bude opatřena mobilním drátěným oplocením.</w:t>
      </w:r>
    </w:p>
    <w:p w:rsidR="009C17A8" w:rsidRDefault="00A97A34" w:rsidP="00FF7747">
      <w:pPr>
        <w:pStyle w:val="Nadpis2"/>
        <w:rPr>
          <w:rFonts w:ascii="Arial-BoldMT" w:hAnsi="Arial-BoldMT" w:cs="Arial-BoldMT"/>
        </w:rPr>
      </w:pPr>
      <w:r>
        <w:t>d</w:t>
      </w:r>
      <w:r w:rsidR="009C17A8">
        <w:t xml:space="preserve">) </w:t>
      </w:r>
      <w:r w:rsidR="002074D3">
        <w:t>U</w:t>
      </w:r>
      <w:r w:rsidR="002074D3" w:rsidRPr="002074D3">
        <w:t>spořádání a bezpečnost staveniště</w:t>
      </w:r>
      <w:bookmarkEnd w:id="4"/>
    </w:p>
    <w:p w:rsidR="009C17A8" w:rsidRDefault="008C4DB1" w:rsidP="00FF7747">
      <w:r>
        <w:t xml:space="preserve">Jelikož se jedná zcela novou komunikaci mimo stávající dopravní obsluhu obce, nebude vyžadovat úplnou uzavírku místních komunikací v obci. Uzavřena bude pouze plocha samotné stavby, která nemá vzhledem ke své poloze na okraji obce žádné dopravní pokračování. </w:t>
      </w:r>
      <w:r w:rsidR="00C062EE">
        <w:t>Provoz bude řízen dočasným dopravním značením.</w:t>
      </w:r>
      <w:r w:rsidR="00FF7747">
        <w:t xml:space="preserve"> (v</w:t>
      </w:r>
      <w:r w:rsidR="00F24984" w:rsidRPr="00F24984">
        <w:t xml:space="preserve">íce viz </w:t>
      </w:r>
      <w:r w:rsidR="00104D99">
        <w:t>bod f</w:t>
      </w:r>
      <w:r w:rsidR="00FF7747">
        <w:t>)</w:t>
      </w:r>
      <w:r w:rsidR="00F24984" w:rsidRPr="00F24984">
        <w:t>.</w:t>
      </w:r>
      <w:r w:rsidR="00F24984">
        <w:t xml:space="preserve"> Při provádění stavebních prací je nutné dodržovat předpisy pro bourací a stavební práce, zejména ustanovení zákona č. 309/2006 Sb. a nařízení vlády č. 591/2006 Sb. ve znění pozdějších předpisů. </w:t>
      </w:r>
    </w:p>
    <w:p w:rsidR="009C17A8" w:rsidRDefault="00A97A34" w:rsidP="00FF7747">
      <w:pPr>
        <w:pStyle w:val="Nadpis2"/>
      </w:pPr>
      <w:bookmarkStart w:id="5" w:name="_Toc354559450"/>
      <w:r>
        <w:t>e</w:t>
      </w:r>
      <w:r w:rsidR="009C17A8">
        <w:t xml:space="preserve">) </w:t>
      </w:r>
      <w:r w:rsidR="001C71E6">
        <w:t>Podmínky pro ochranu životního prostředí při výstavbě</w:t>
      </w:r>
      <w:bookmarkEnd w:id="5"/>
    </w:p>
    <w:p w:rsidR="009C17A8" w:rsidRDefault="00F24984" w:rsidP="00FF7747">
      <w:r>
        <w:t>P</w:t>
      </w:r>
      <w:r w:rsidR="009C17A8">
        <w:t>rovozem stavby nebude stávající stav životního prostředí</w:t>
      </w:r>
      <w:r w:rsidR="009C6522">
        <w:t xml:space="preserve"> </w:t>
      </w:r>
      <w:r w:rsidR="009C17A8">
        <w:t>nikterak zasažen. Je počítáno jen s dočasným zvýšením hluku a prachu během výstavby.</w:t>
      </w:r>
      <w:r w:rsidR="009C6522">
        <w:t xml:space="preserve"> </w:t>
      </w:r>
      <w:r w:rsidR="009C17A8">
        <w:t xml:space="preserve">Stavba </w:t>
      </w:r>
      <w:r w:rsidR="007023D7">
        <w:t>bezprostředně nen</w:t>
      </w:r>
      <w:r w:rsidR="009C17A8">
        <w:t>a</w:t>
      </w:r>
      <w:r w:rsidR="008C2C9C">
        <w:t>va</w:t>
      </w:r>
      <w:r w:rsidR="007023D7">
        <w:t xml:space="preserve">zuje na stávající objekty. Je </w:t>
      </w:r>
      <w:r w:rsidR="009C17A8">
        <w:t>třeba respektovat veškerá práva</w:t>
      </w:r>
      <w:r w:rsidR="009C6522">
        <w:t xml:space="preserve"> </w:t>
      </w:r>
      <w:r w:rsidR="009C17A8">
        <w:t xml:space="preserve">uživatelů </w:t>
      </w:r>
      <w:r w:rsidR="007023D7">
        <w:t>sousedních objektů,</w:t>
      </w:r>
      <w:r w:rsidR="009C17A8">
        <w:t xml:space="preserve"> tzn. dbát o co největší omezení hlučnosti stavebních strojů, omezené</w:t>
      </w:r>
      <w:r w:rsidR="009C6522">
        <w:t xml:space="preserve"> </w:t>
      </w:r>
      <w:r w:rsidR="009C17A8">
        <w:t>prašnosti a podobně.</w:t>
      </w:r>
      <w:r w:rsidR="008C4DB1">
        <w:t xml:space="preserve"> </w:t>
      </w:r>
    </w:p>
    <w:p w:rsidR="000050F0" w:rsidRDefault="000050F0" w:rsidP="00FF7747"/>
    <w:p w:rsidR="000050F0" w:rsidRDefault="000050F0" w:rsidP="00FF7747">
      <w:r w:rsidRPr="000050F0">
        <w:t xml:space="preserve">Při realizaci stavby se předpokládá se vznikem </w:t>
      </w:r>
      <w:r w:rsidR="008C4DB1">
        <w:t>níže uvedených</w:t>
      </w:r>
      <w:r w:rsidRPr="000050F0">
        <w:t xml:space="preserve"> druhů odpadů, přičemž při provádění stavby se bude v maximální míře usilovat o další jejich snížení. Při třídění odpadů a jejich následné likvidaci bude dodržována Vyhláška ministerstva životního prostředí č. 381/ 2001 Sb., zákon č. 185/2001 Sb. A Vyhláška MŽP č. 383/2001 Sb. Dodržení hospodaření s odpady, tj. způsob zneškodnění, zužitkování a odstranění odpadních látek a energií při výstavbě se předpokládá následovně: </w:t>
      </w:r>
    </w:p>
    <w:p w:rsidR="009C17A8" w:rsidRDefault="009C17A8" w:rsidP="00FF7747">
      <w:pPr>
        <w:pStyle w:val="Nadpis3"/>
      </w:pPr>
      <w:bookmarkStart w:id="6" w:name="_Toc354559451"/>
      <w:r>
        <w:t>1) Vliv stavby na okolí v průběhu výstavby</w:t>
      </w:r>
      <w:bookmarkEnd w:id="6"/>
    </w:p>
    <w:p w:rsidR="009C17A8" w:rsidRDefault="009C17A8" w:rsidP="00FF7747">
      <w:r>
        <w:t xml:space="preserve">Budou provedena opatření proti hluku, prašnosti (zejména při </w:t>
      </w:r>
      <w:r w:rsidR="000050F0">
        <w:t>zemních</w:t>
      </w:r>
      <w:r>
        <w:t xml:space="preserve"> pracích a</w:t>
      </w:r>
      <w:r w:rsidR="009C6522">
        <w:t xml:space="preserve"> </w:t>
      </w:r>
      <w:r>
        <w:t>manipulaci se sutí) a k zamezení vynášení nečistot z místa stavby. Zhotovitel zajistí</w:t>
      </w:r>
      <w:r w:rsidR="009C6522">
        <w:t xml:space="preserve"> </w:t>
      </w:r>
      <w:r>
        <w:t>splnění podmínek orgánů životního prostředí.</w:t>
      </w:r>
    </w:p>
    <w:p w:rsidR="009C17A8" w:rsidRDefault="009C17A8" w:rsidP="00FF7747">
      <w:pPr>
        <w:pStyle w:val="Nadpis3"/>
      </w:pPr>
      <w:bookmarkStart w:id="7" w:name="_Toc354559452"/>
      <w:r>
        <w:t>2) Ochrana zeleně</w:t>
      </w:r>
      <w:bookmarkEnd w:id="7"/>
    </w:p>
    <w:p w:rsidR="009C17A8" w:rsidRDefault="009C17A8" w:rsidP="00FF7747">
      <w:r>
        <w:t>V průběhu stavby</w:t>
      </w:r>
      <w:r w:rsidR="009C6522">
        <w:t xml:space="preserve"> </w:t>
      </w:r>
      <w:r>
        <w:t>nesmí dojít k poškození stávající zeleně nad rámec povolený OŽP.</w:t>
      </w:r>
    </w:p>
    <w:p w:rsidR="009C17A8" w:rsidRDefault="009C17A8" w:rsidP="00FF7747">
      <w:r>
        <w:t>Při provádění stavby je třeba respektovat stávající zeleň kolem objektu, která sestává</w:t>
      </w:r>
      <w:r w:rsidR="009C6522">
        <w:t xml:space="preserve"> </w:t>
      </w:r>
      <w:r>
        <w:t>ze zatravněných ploch.</w:t>
      </w:r>
    </w:p>
    <w:p w:rsidR="009C17A8" w:rsidRDefault="009C17A8" w:rsidP="00FF7747">
      <w:r>
        <w:t>Při provádění bouracích prací je třeba dřeviny chránit (např. bedněním před</w:t>
      </w:r>
      <w:r w:rsidR="009C6522">
        <w:t xml:space="preserve"> </w:t>
      </w:r>
      <w:r>
        <w:t>poškozením odpadávající sutí).</w:t>
      </w:r>
    </w:p>
    <w:p w:rsidR="009C17A8" w:rsidRDefault="009C17A8" w:rsidP="00FF7747">
      <w:r>
        <w:t>Při provádění mokrých stavebních procesů (betonáže, lepení tepelných izolantů,</w:t>
      </w:r>
      <w:r w:rsidR="009C6522">
        <w:t xml:space="preserve"> </w:t>
      </w:r>
      <w:r>
        <w:t>provádění omítek) je třeba po nezbytně dlouhou dobu chránit zejména stále zelené</w:t>
      </w:r>
      <w:r w:rsidR="009C6522">
        <w:t xml:space="preserve"> </w:t>
      </w:r>
      <w:r>
        <w:t>dřeviny před</w:t>
      </w:r>
      <w:r w:rsidR="009C6522">
        <w:t xml:space="preserve"> </w:t>
      </w:r>
      <w:r>
        <w:t>potřísněním zakrytím PE folií.</w:t>
      </w:r>
    </w:p>
    <w:p w:rsidR="009C17A8" w:rsidRDefault="009C17A8" w:rsidP="00FF7747">
      <w:r>
        <w:t>Pro přesun materiálu z dopravních prostředků do skladu nebo na lešení bude</w:t>
      </w:r>
      <w:r w:rsidR="009C6522">
        <w:t xml:space="preserve"> </w:t>
      </w:r>
      <w:r>
        <w:t xml:space="preserve">používáno především </w:t>
      </w:r>
      <w:r w:rsidR="000050F0">
        <w:t>nezpevněných ploch</w:t>
      </w:r>
      <w:r>
        <w:t>.</w:t>
      </w:r>
    </w:p>
    <w:p w:rsidR="009C17A8" w:rsidRDefault="009C17A8" w:rsidP="00FF7747">
      <w:r>
        <w:t>Po skončení stavebních prací a demontáži lešení bude proveden důsledný úklid všech</w:t>
      </w:r>
      <w:r w:rsidR="009C6522">
        <w:t xml:space="preserve"> </w:t>
      </w:r>
      <w:r>
        <w:t>zelených ploch. Mechanicky poškozené dřeviny budou bezodkladně odborně</w:t>
      </w:r>
      <w:r w:rsidR="009C6522">
        <w:t xml:space="preserve"> </w:t>
      </w:r>
      <w:r>
        <w:t>zahradnicky ošetřeny, poškozené zatravněné plochy zkultivovány a osety.</w:t>
      </w:r>
    </w:p>
    <w:p w:rsidR="009C17A8" w:rsidRDefault="009C17A8" w:rsidP="00FF7747">
      <w:pPr>
        <w:pStyle w:val="Nadpis3"/>
      </w:pPr>
      <w:bookmarkStart w:id="8" w:name="_Toc354559453"/>
      <w:r>
        <w:lastRenderedPageBreak/>
        <w:t>3) Odpad ze stavební činnosti</w:t>
      </w:r>
      <w:bookmarkEnd w:id="8"/>
    </w:p>
    <w:p w:rsidR="009C17A8" w:rsidRPr="00A97A34" w:rsidRDefault="009C17A8" w:rsidP="00FF7747">
      <w:r w:rsidRPr="00A97A34">
        <w:t>Vznikající odpad bude soustřeďován a likvidován do tříděného odpadu v</w:t>
      </w:r>
      <w:r w:rsidR="009C6522" w:rsidRPr="00A97A34">
        <w:t> </w:t>
      </w:r>
      <w:r w:rsidRPr="00A97A34">
        <w:t>souladu</w:t>
      </w:r>
      <w:r w:rsidR="009C6522" w:rsidRPr="00A97A34">
        <w:t xml:space="preserve"> </w:t>
      </w:r>
      <w:r w:rsidRPr="00A97A34">
        <w:t>s</w:t>
      </w:r>
      <w:r w:rsidR="009C6522" w:rsidRPr="00A97A34">
        <w:t xml:space="preserve"> p</w:t>
      </w:r>
      <w:r w:rsidRPr="00A97A34">
        <w:t>říslušnými předpisy. V žádném případě nebude spalován nebo zahrabáván ani</w:t>
      </w:r>
      <w:r w:rsidR="009C6522" w:rsidRPr="00A97A34">
        <w:t xml:space="preserve"> </w:t>
      </w:r>
      <w:r w:rsidRPr="00A97A34">
        <w:t xml:space="preserve">likvidován do stávajících sběrných nádob </w:t>
      </w:r>
      <w:r w:rsidR="009657C1">
        <w:t>pro potřeby obyvatel v ulici.</w:t>
      </w:r>
    </w:p>
    <w:p w:rsidR="009C17A8" w:rsidRDefault="009C17A8" w:rsidP="00FF7747">
      <w:r w:rsidRPr="00A97A34">
        <w:t>Likvidace se bude dále řídit platnými předpisy a zákony o likvidaci odpadu a to zákonem č.</w:t>
      </w:r>
      <w:r w:rsidR="006E3EEC" w:rsidRPr="00A97A34">
        <w:t xml:space="preserve"> </w:t>
      </w:r>
      <w:r w:rsidRPr="00A97A34">
        <w:t xml:space="preserve">185/2001 o odpadech v platném znění a </w:t>
      </w:r>
      <w:r w:rsidR="006E3EEC" w:rsidRPr="00A97A34">
        <w:t>m</w:t>
      </w:r>
      <w:r w:rsidRPr="00A97A34">
        <w:t>etodickým návodem odboru odpadu pro řízení</w:t>
      </w:r>
      <w:r w:rsidR="00FB2D88">
        <w:t xml:space="preserve"> </w:t>
      </w:r>
      <w:r w:rsidRPr="00A97A34">
        <w:t>vzniku stavebních a demoličních odpadů a pro nakládání s nimi (vydalo MŽP v lednu 2008).</w:t>
      </w:r>
    </w:p>
    <w:p w:rsidR="00C062EE" w:rsidRDefault="00C062EE" w:rsidP="00C062EE">
      <w:pPr>
        <w:rPr>
          <w:b/>
        </w:rPr>
      </w:pPr>
    </w:p>
    <w:p w:rsidR="00C062EE" w:rsidRDefault="00C062EE" w:rsidP="00C062EE">
      <w:pPr>
        <w:rPr>
          <w:b/>
        </w:rPr>
      </w:pPr>
      <w:r w:rsidRPr="00623957">
        <w:rPr>
          <w:b/>
        </w:rPr>
        <w:t xml:space="preserve">Přehled předpokládaných odpadů vzniklých při výstavbě </w:t>
      </w:r>
    </w:p>
    <w:tbl>
      <w:tblPr>
        <w:tblpPr w:leftFromText="141" w:rightFromText="141"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536"/>
        <w:gridCol w:w="2581"/>
      </w:tblGrid>
      <w:tr w:rsidR="008C4DB1" w:rsidRPr="000050F0" w:rsidTr="00F5587C">
        <w:trPr>
          <w:trHeight w:val="567"/>
        </w:trPr>
        <w:tc>
          <w:tcPr>
            <w:tcW w:w="2093" w:type="dxa"/>
            <w:vAlign w:val="center"/>
          </w:tcPr>
          <w:p w:rsidR="008C4DB1" w:rsidRPr="000050F0" w:rsidRDefault="008C4DB1" w:rsidP="00F5587C">
            <w:pPr>
              <w:ind w:right="1" w:firstLine="0"/>
              <w:jc w:val="center"/>
            </w:pPr>
            <w:r w:rsidRPr="000050F0">
              <w:t>Č. odpadu</w:t>
            </w:r>
          </w:p>
        </w:tc>
        <w:tc>
          <w:tcPr>
            <w:tcW w:w="4536" w:type="dxa"/>
            <w:vAlign w:val="center"/>
          </w:tcPr>
          <w:p w:rsidR="008C4DB1" w:rsidRPr="000050F0" w:rsidRDefault="008C4DB1" w:rsidP="00F5587C">
            <w:pPr>
              <w:ind w:firstLine="0"/>
              <w:jc w:val="center"/>
            </w:pPr>
            <w:r w:rsidRPr="000050F0">
              <w:t>Název, popis a původ odpadu</w:t>
            </w:r>
          </w:p>
        </w:tc>
        <w:tc>
          <w:tcPr>
            <w:tcW w:w="2581" w:type="dxa"/>
            <w:vAlign w:val="center"/>
          </w:tcPr>
          <w:p w:rsidR="008C4DB1" w:rsidRPr="000050F0" w:rsidRDefault="008C4DB1" w:rsidP="00F5587C">
            <w:pPr>
              <w:ind w:right="31" w:firstLine="0"/>
              <w:jc w:val="center"/>
            </w:pPr>
            <w:r w:rsidRPr="000050F0">
              <w:t>Kategorie odpadu</w:t>
            </w:r>
          </w:p>
        </w:tc>
      </w:tr>
      <w:tr w:rsidR="008C4DB1" w:rsidRPr="000050F0" w:rsidTr="00F5587C">
        <w:trPr>
          <w:trHeight w:val="567"/>
        </w:trPr>
        <w:tc>
          <w:tcPr>
            <w:tcW w:w="2093" w:type="dxa"/>
            <w:vAlign w:val="center"/>
          </w:tcPr>
          <w:p w:rsidR="008C4DB1" w:rsidRPr="000050F0" w:rsidRDefault="008C4DB1" w:rsidP="00F5587C">
            <w:pPr>
              <w:ind w:right="1" w:firstLine="0"/>
              <w:jc w:val="center"/>
            </w:pPr>
            <w:r w:rsidRPr="000050F0">
              <w:t>17 01 07</w:t>
            </w:r>
          </w:p>
        </w:tc>
        <w:tc>
          <w:tcPr>
            <w:tcW w:w="4536" w:type="dxa"/>
            <w:vAlign w:val="center"/>
          </w:tcPr>
          <w:p w:rsidR="008C4DB1" w:rsidRPr="000050F0" w:rsidRDefault="008C4DB1" w:rsidP="00F5587C">
            <w:pPr>
              <w:ind w:firstLine="0"/>
              <w:jc w:val="center"/>
            </w:pPr>
            <w:r w:rsidRPr="000050F0">
              <w:t>Směs nebo oddělené frakce betonu, cihel, tašek a keramických výrobků</w:t>
            </w:r>
          </w:p>
        </w:tc>
        <w:tc>
          <w:tcPr>
            <w:tcW w:w="2581" w:type="dxa"/>
            <w:vAlign w:val="center"/>
          </w:tcPr>
          <w:p w:rsidR="008C4DB1" w:rsidRPr="000050F0" w:rsidRDefault="008C4DB1" w:rsidP="00F5587C">
            <w:pPr>
              <w:ind w:right="31" w:firstLine="0"/>
              <w:jc w:val="center"/>
            </w:pPr>
            <w:r w:rsidRPr="000050F0">
              <w:t>O</w:t>
            </w:r>
          </w:p>
        </w:tc>
      </w:tr>
      <w:tr w:rsidR="008C4DB1" w:rsidRPr="000050F0" w:rsidTr="00F5587C">
        <w:trPr>
          <w:trHeight w:val="567"/>
        </w:trPr>
        <w:tc>
          <w:tcPr>
            <w:tcW w:w="2093" w:type="dxa"/>
            <w:vAlign w:val="center"/>
          </w:tcPr>
          <w:p w:rsidR="008C4DB1" w:rsidRPr="000050F0" w:rsidRDefault="008C4DB1" w:rsidP="00F5587C">
            <w:pPr>
              <w:ind w:right="1" w:firstLine="0"/>
              <w:jc w:val="center"/>
            </w:pPr>
            <w:r w:rsidRPr="000050F0">
              <w:t>17 02 01</w:t>
            </w:r>
          </w:p>
        </w:tc>
        <w:tc>
          <w:tcPr>
            <w:tcW w:w="4536" w:type="dxa"/>
            <w:vAlign w:val="center"/>
          </w:tcPr>
          <w:p w:rsidR="008C4DB1" w:rsidRPr="000050F0" w:rsidRDefault="008C4DB1" w:rsidP="00F5587C">
            <w:pPr>
              <w:ind w:firstLine="0"/>
              <w:jc w:val="center"/>
            </w:pPr>
            <w:r w:rsidRPr="000050F0">
              <w:t>Dřevo</w:t>
            </w:r>
          </w:p>
        </w:tc>
        <w:tc>
          <w:tcPr>
            <w:tcW w:w="2581" w:type="dxa"/>
            <w:vAlign w:val="center"/>
          </w:tcPr>
          <w:p w:rsidR="008C4DB1" w:rsidRPr="000050F0" w:rsidRDefault="008C4DB1" w:rsidP="00F5587C">
            <w:pPr>
              <w:ind w:right="31" w:firstLine="0"/>
              <w:jc w:val="center"/>
            </w:pPr>
            <w:r w:rsidRPr="000050F0">
              <w:t>O</w:t>
            </w:r>
          </w:p>
        </w:tc>
      </w:tr>
      <w:tr w:rsidR="008C4DB1" w:rsidRPr="000050F0" w:rsidTr="00F5587C">
        <w:trPr>
          <w:trHeight w:val="567"/>
        </w:trPr>
        <w:tc>
          <w:tcPr>
            <w:tcW w:w="2093" w:type="dxa"/>
            <w:vAlign w:val="center"/>
          </w:tcPr>
          <w:p w:rsidR="008C4DB1" w:rsidRPr="000050F0" w:rsidRDefault="008C4DB1" w:rsidP="00F5587C">
            <w:pPr>
              <w:ind w:right="1" w:firstLine="0"/>
              <w:jc w:val="center"/>
            </w:pPr>
            <w:r w:rsidRPr="000050F0">
              <w:t>17 02 03</w:t>
            </w:r>
          </w:p>
        </w:tc>
        <w:tc>
          <w:tcPr>
            <w:tcW w:w="4536" w:type="dxa"/>
            <w:vAlign w:val="center"/>
          </w:tcPr>
          <w:p w:rsidR="008C4DB1" w:rsidRPr="000050F0" w:rsidRDefault="008C4DB1" w:rsidP="00F5587C">
            <w:pPr>
              <w:ind w:firstLine="0"/>
              <w:jc w:val="center"/>
            </w:pPr>
            <w:r w:rsidRPr="000050F0">
              <w:t>Plasty</w:t>
            </w:r>
          </w:p>
        </w:tc>
        <w:tc>
          <w:tcPr>
            <w:tcW w:w="2581" w:type="dxa"/>
            <w:vAlign w:val="center"/>
          </w:tcPr>
          <w:p w:rsidR="008C4DB1" w:rsidRPr="000050F0" w:rsidRDefault="008C4DB1" w:rsidP="00F5587C">
            <w:pPr>
              <w:ind w:right="31" w:firstLine="0"/>
              <w:jc w:val="center"/>
            </w:pPr>
            <w:r w:rsidRPr="000050F0">
              <w:t>O</w:t>
            </w:r>
          </w:p>
        </w:tc>
      </w:tr>
      <w:tr w:rsidR="008C4DB1" w:rsidRPr="000050F0" w:rsidTr="00F5587C">
        <w:trPr>
          <w:trHeight w:val="567"/>
        </w:trPr>
        <w:tc>
          <w:tcPr>
            <w:tcW w:w="2093" w:type="dxa"/>
            <w:vAlign w:val="center"/>
          </w:tcPr>
          <w:p w:rsidR="008C4DB1" w:rsidRPr="000050F0" w:rsidRDefault="008C4DB1" w:rsidP="00F5587C">
            <w:pPr>
              <w:ind w:firstLine="0"/>
              <w:jc w:val="center"/>
            </w:pPr>
            <w:r w:rsidRPr="000050F0">
              <w:t>17 04 05</w:t>
            </w:r>
          </w:p>
        </w:tc>
        <w:tc>
          <w:tcPr>
            <w:tcW w:w="4536" w:type="dxa"/>
            <w:vAlign w:val="center"/>
          </w:tcPr>
          <w:p w:rsidR="008C4DB1" w:rsidRPr="000050F0" w:rsidRDefault="008C4DB1" w:rsidP="00F5587C">
            <w:pPr>
              <w:ind w:firstLine="0"/>
              <w:jc w:val="center"/>
            </w:pPr>
            <w:r w:rsidRPr="000050F0">
              <w:t>Železo, ocel</w:t>
            </w:r>
          </w:p>
        </w:tc>
        <w:tc>
          <w:tcPr>
            <w:tcW w:w="2581" w:type="dxa"/>
            <w:vAlign w:val="center"/>
          </w:tcPr>
          <w:p w:rsidR="008C4DB1" w:rsidRPr="000050F0" w:rsidRDefault="008C4DB1" w:rsidP="00F5587C">
            <w:pPr>
              <w:ind w:firstLine="0"/>
              <w:jc w:val="center"/>
            </w:pPr>
            <w:r w:rsidRPr="000050F0">
              <w:t>O</w:t>
            </w:r>
          </w:p>
        </w:tc>
      </w:tr>
      <w:tr w:rsidR="008C4DB1" w:rsidRPr="000050F0" w:rsidTr="00F5587C">
        <w:trPr>
          <w:trHeight w:val="567"/>
        </w:trPr>
        <w:tc>
          <w:tcPr>
            <w:tcW w:w="2093" w:type="dxa"/>
            <w:vAlign w:val="center"/>
          </w:tcPr>
          <w:p w:rsidR="008C4DB1" w:rsidRDefault="008C4DB1" w:rsidP="00F5587C">
            <w:pPr>
              <w:ind w:firstLine="0"/>
              <w:jc w:val="center"/>
            </w:pPr>
            <w:r>
              <w:t>17 05 04</w:t>
            </w:r>
          </w:p>
        </w:tc>
        <w:tc>
          <w:tcPr>
            <w:tcW w:w="4536" w:type="dxa"/>
            <w:vAlign w:val="center"/>
          </w:tcPr>
          <w:p w:rsidR="008C4DB1" w:rsidRDefault="008C4DB1" w:rsidP="00F5587C">
            <w:pPr>
              <w:ind w:firstLine="0"/>
              <w:jc w:val="center"/>
            </w:pPr>
            <w:r>
              <w:t>Zemina a kamení neuvedené pod číslem 17 05 03</w:t>
            </w:r>
          </w:p>
        </w:tc>
        <w:tc>
          <w:tcPr>
            <w:tcW w:w="2581" w:type="dxa"/>
            <w:vAlign w:val="center"/>
          </w:tcPr>
          <w:p w:rsidR="008C4DB1" w:rsidRDefault="008C4DB1" w:rsidP="00F5587C">
            <w:pPr>
              <w:ind w:firstLine="0"/>
              <w:jc w:val="center"/>
            </w:pPr>
            <w:r>
              <w:t>O</w:t>
            </w:r>
          </w:p>
        </w:tc>
      </w:tr>
      <w:tr w:rsidR="008C4DB1" w:rsidRPr="000050F0" w:rsidTr="00F5587C">
        <w:trPr>
          <w:trHeight w:val="567"/>
        </w:trPr>
        <w:tc>
          <w:tcPr>
            <w:tcW w:w="2093" w:type="dxa"/>
            <w:vAlign w:val="center"/>
          </w:tcPr>
          <w:p w:rsidR="008C4DB1" w:rsidRDefault="008C4DB1" w:rsidP="00F5587C">
            <w:pPr>
              <w:ind w:firstLine="0"/>
              <w:jc w:val="center"/>
            </w:pPr>
            <w:r>
              <w:t>17 03 02</w:t>
            </w:r>
          </w:p>
        </w:tc>
        <w:tc>
          <w:tcPr>
            <w:tcW w:w="4536" w:type="dxa"/>
            <w:vAlign w:val="center"/>
          </w:tcPr>
          <w:p w:rsidR="008C4DB1" w:rsidRDefault="008C4DB1" w:rsidP="00F5587C">
            <w:pPr>
              <w:ind w:firstLine="0"/>
              <w:jc w:val="center"/>
            </w:pPr>
            <w:r>
              <w:t xml:space="preserve">Asfaltové směsi neuvedené pod </w:t>
            </w:r>
            <w:proofErr w:type="gramStart"/>
            <w:r>
              <w:t>číslem      17 03 01</w:t>
            </w:r>
            <w:proofErr w:type="gramEnd"/>
          </w:p>
        </w:tc>
        <w:tc>
          <w:tcPr>
            <w:tcW w:w="2581" w:type="dxa"/>
            <w:vAlign w:val="center"/>
          </w:tcPr>
          <w:p w:rsidR="008C4DB1" w:rsidRDefault="008C4DB1" w:rsidP="00F5587C">
            <w:pPr>
              <w:ind w:firstLine="0"/>
              <w:jc w:val="center"/>
            </w:pPr>
            <w:r>
              <w:t>O</w:t>
            </w:r>
          </w:p>
        </w:tc>
      </w:tr>
      <w:tr w:rsidR="008C4DB1" w:rsidTr="00F5587C">
        <w:trPr>
          <w:trHeight w:val="567"/>
        </w:trPr>
        <w:tc>
          <w:tcPr>
            <w:tcW w:w="2093" w:type="dxa"/>
            <w:vAlign w:val="center"/>
          </w:tcPr>
          <w:p w:rsidR="008C4DB1" w:rsidRPr="007023D7" w:rsidRDefault="008C4DB1" w:rsidP="00F5587C">
            <w:pPr>
              <w:ind w:right="1" w:firstLine="0"/>
              <w:jc w:val="center"/>
            </w:pPr>
            <w:r w:rsidRPr="007023D7">
              <w:t>15 01 01</w:t>
            </w:r>
          </w:p>
        </w:tc>
        <w:tc>
          <w:tcPr>
            <w:tcW w:w="4536" w:type="dxa"/>
            <w:vAlign w:val="center"/>
          </w:tcPr>
          <w:p w:rsidR="008C4DB1" w:rsidRPr="007023D7" w:rsidRDefault="008C4DB1" w:rsidP="00F5587C">
            <w:pPr>
              <w:ind w:firstLine="0"/>
              <w:jc w:val="center"/>
            </w:pPr>
            <w:r w:rsidRPr="007023D7">
              <w:t>Papírové a lepenkové obaly</w:t>
            </w:r>
          </w:p>
        </w:tc>
        <w:tc>
          <w:tcPr>
            <w:tcW w:w="2581" w:type="dxa"/>
            <w:vAlign w:val="center"/>
          </w:tcPr>
          <w:p w:rsidR="008C4DB1" w:rsidRPr="007023D7" w:rsidRDefault="008C4DB1" w:rsidP="00F5587C">
            <w:pPr>
              <w:ind w:right="31" w:firstLine="0"/>
              <w:jc w:val="center"/>
            </w:pPr>
            <w:r>
              <w:t>O</w:t>
            </w:r>
          </w:p>
        </w:tc>
      </w:tr>
    </w:tbl>
    <w:p w:rsidR="008C4DB1" w:rsidRPr="00623957" w:rsidRDefault="008C4DB1" w:rsidP="00C062EE">
      <w:pPr>
        <w:rPr>
          <w:b/>
        </w:rPr>
      </w:pPr>
    </w:p>
    <w:p w:rsidR="00C062EE" w:rsidRPr="00A97A34" w:rsidRDefault="00C062EE" w:rsidP="00FF7747"/>
    <w:p w:rsidR="00375ADB" w:rsidRDefault="00A97A34" w:rsidP="00FF7747">
      <w:pPr>
        <w:pStyle w:val="Nadpis2"/>
      </w:pPr>
      <w:bookmarkStart w:id="9" w:name="_Toc354559454"/>
      <w:r>
        <w:t>f) Návrh DIO během výstavby</w:t>
      </w:r>
      <w:bookmarkEnd w:id="9"/>
    </w:p>
    <w:p w:rsidR="008C4DB1" w:rsidRDefault="008C4DB1" w:rsidP="008C4DB1">
      <w:pPr>
        <w:spacing w:after="120"/>
        <w:ind w:firstLine="425"/>
      </w:pPr>
      <w:r>
        <w:t xml:space="preserve">K omezení dopravy při stavbě </w:t>
      </w:r>
      <w:r w:rsidR="00C0640A">
        <w:t xml:space="preserve">hlavní části nových </w:t>
      </w:r>
      <w:r>
        <w:t xml:space="preserve">komunikací nedojde. Vjezd na stavbu komunikace bude označen značkami Z2 „Zábrana pro označení uzavírky“ doplněnou SDZ B1 s dodatkovou tabulkou E13 (Mimo stavby). Při provádění </w:t>
      </w:r>
      <w:proofErr w:type="spellStart"/>
      <w:r>
        <w:t>napojovacích</w:t>
      </w:r>
      <w:proofErr w:type="spellEnd"/>
      <w:r>
        <w:t xml:space="preserve"> prací chodníku na předchozí etapu výstavby komunikací bude okolo obruby užita směrová deska Z04a/b s mezerami 3 m. Jelikož se ovšem jedná o novou stavbu mimo navazující dopravní komunikace, není třeba nijak řešit objízdné trasy ani dočasné dopravní značení mimo výše zmíněných zábran. Zároveň není nutné umístění dočasného značení upozorňující na slepou ulici, jelikož je tato ulice slepá dlouhodobě.</w:t>
      </w:r>
    </w:p>
    <w:p w:rsidR="00C0640A" w:rsidRDefault="00C0640A" w:rsidP="008C4DB1">
      <w:pPr>
        <w:spacing w:after="120"/>
        <w:ind w:firstLine="425"/>
      </w:pPr>
      <w:r>
        <w:t xml:space="preserve">Při výstavbě chodníků a veřejného osvětlení v severní části stavby bude provedeno pouze lokální dopravní opatření v místech provedení nových obrub, v přechodovém místě a </w:t>
      </w:r>
      <w:r w:rsidR="007824CD">
        <w:t>úpravě uličních vpustí. Toto omezení bude provedeno směrovými deskami Z04a/b s mezerami 3 m v délce jednotlivých omezení. Vzhledem k dostatečné šířce vozovky a umístění v blízkosti křižovatek se počítá s návrhovou rychlostí 20-30km/h a proto zde není navrženo asi dočasné omezení rychlosti. Ve vzdálenosti před jednotlivými omezeními bude ve vzdálenosti 30m před první směrovou deskou umístěna značka A15 Práce na silnici.</w:t>
      </w:r>
    </w:p>
    <w:p w:rsidR="008C4DB1" w:rsidRDefault="008C4DB1" w:rsidP="008C4DB1">
      <w:pPr>
        <w:spacing w:after="120"/>
        <w:ind w:firstLine="425"/>
      </w:pPr>
      <w:r>
        <w:t xml:space="preserve">Eventuální návrh pro navrhování dopravního omezení musí být vypracován dle TP 66 – Zásady pro označování pracovních míst na pozemních komunikacích a TP 65 – Zásady pro navrhování dopravního značení na pozemních komunikacích a navazujících Zásady pro </w:t>
      </w:r>
      <w:r>
        <w:lastRenderedPageBreak/>
        <w:t xml:space="preserve">přechodné dopravní značení na pozemních komunikacích schválené Ministerstvem dopravy a spojů ČR pod </w:t>
      </w:r>
      <w:proofErr w:type="gramStart"/>
      <w:r>
        <w:t>č.j.</w:t>
      </w:r>
      <w:proofErr w:type="gramEnd"/>
      <w:r>
        <w:t xml:space="preserve"> 52/203-160-LEG/1 dne 12.12.2003. Po dokončení stavby budou všechny dočasně umístěné dopravní značky odstraněny a dopravní značení bude uvedeno zpět do původního stavu.</w:t>
      </w:r>
    </w:p>
    <w:p w:rsidR="00C062EE" w:rsidRPr="00271423" w:rsidRDefault="008C4DB1" w:rsidP="008C4DB1">
      <w:r>
        <w:t xml:space="preserve">Před prováděním prací na místních komunikacích je nutné </w:t>
      </w:r>
      <w:r w:rsidR="00646D31">
        <w:t xml:space="preserve">eventuálně </w:t>
      </w:r>
      <w:r>
        <w:t xml:space="preserve">požádat o povolení </w:t>
      </w:r>
      <w:r w:rsidR="009657C1">
        <w:t>zvláštního užívání stavby</w:t>
      </w:r>
      <w:r>
        <w:t xml:space="preserve"> na odboru dopravy </w:t>
      </w:r>
      <w:r w:rsidRPr="00E62027">
        <w:t xml:space="preserve">Městského úřadu </w:t>
      </w:r>
      <w:r>
        <w:t>v Milevsku.</w:t>
      </w:r>
    </w:p>
    <w:p w:rsidR="001955E6" w:rsidRDefault="001955E6" w:rsidP="00FF7747"/>
    <w:p w:rsidR="001955E6" w:rsidRDefault="001955E6" w:rsidP="00FF7747"/>
    <w:p w:rsidR="001955E6" w:rsidRDefault="001955E6" w:rsidP="00FF7747"/>
    <w:p w:rsidR="001955E6" w:rsidRDefault="001955E6" w:rsidP="00FF7747"/>
    <w:sectPr w:rsidR="001955E6" w:rsidSect="00B242AD">
      <w:headerReference w:type="default" r:id="rId11"/>
      <w:footerReference w:type="default" r:id="rId12"/>
      <w:pgSz w:w="11906" w:h="16838"/>
      <w:pgMar w:top="1134" w:right="1417" w:bottom="1276"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3EB" w:rsidRDefault="00AD43EB" w:rsidP="00FF7747">
      <w:r>
        <w:separator/>
      </w:r>
    </w:p>
  </w:endnote>
  <w:endnote w:type="continuationSeparator" w:id="0">
    <w:p w:rsidR="00AD43EB" w:rsidRDefault="00AD43EB" w:rsidP="00FF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2AD" w:rsidRPr="00B242AD" w:rsidRDefault="00B242AD" w:rsidP="00B242AD">
    <w:pPr>
      <w:pStyle w:val="Zpat"/>
      <w:tabs>
        <w:tab w:val="clear" w:pos="4536"/>
        <w:tab w:val="clear" w:pos="9072"/>
      </w:tabs>
      <w:ind w:left="-142" w:right="-142" w:firstLine="0"/>
      <w:jc w:val="center"/>
      <w:rPr>
        <w:color w:val="7F7F7F" w:themeColor="background1" w:themeShade="7F"/>
        <w:sz w:val="18"/>
      </w:rPr>
    </w:pPr>
    <w:proofErr w:type="spellStart"/>
    <w:r w:rsidRPr="00B242AD">
      <w:rPr>
        <w:sz w:val="18"/>
      </w:rPr>
      <w:t>Building-Investment</w:t>
    </w:r>
    <w:proofErr w:type="spellEnd"/>
    <w:r w:rsidRPr="00B242AD">
      <w:rPr>
        <w:sz w:val="18"/>
      </w:rPr>
      <w:t xml:space="preserve">, s.r.o., </w:t>
    </w:r>
    <w:proofErr w:type="spellStart"/>
    <w:proofErr w:type="gramStart"/>
    <w:r w:rsidRPr="00B242AD">
      <w:rPr>
        <w:sz w:val="18"/>
      </w:rPr>
      <w:t>arch.Dubského</w:t>
    </w:r>
    <w:proofErr w:type="spellEnd"/>
    <w:proofErr w:type="gramEnd"/>
    <w:r w:rsidRPr="00B242AD">
      <w:rPr>
        <w:sz w:val="18"/>
      </w:rPr>
      <w:t xml:space="preserve"> 387, 38601 Strakonice, www.build-in.cz, tel: 602 145 242, 731 406 007 </w:t>
    </w:r>
    <w:r w:rsidRPr="00B242AD">
      <w:rPr>
        <w:color w:val="7F7F7F" w:themeColor="background1" w:themeShade="7F"/>
        <w:sz w:val="18"/>
      </w:rPr>
      <w:t xml:space="preserve"> </w:t>
    </w:r>
  </w:p>
  <w:p w:rsidR="00B242AD" w:rsidRDefault="00B242AD">
    <w:pPr>
      <w:pStyle w:val="Zpat"/>
      <w:jc w:val="center"/>
    </w:pPr>
  </w:p>
  <w:p w:rsidR="00B242AD" w:rsidRDefault="00AD43EB">
    <w:pPr>
      <w:pStyle w:val="Zpat"/>
      <w:jc w:val="center"/>
    </w:pPr>
    <w:sdt>
      <w:sdtPr>
        <w:id w:val="-1554533070"/>
        <w:docPartObj>
          <w:docPartGallery w:val="Page Numbers (Bottom of Page)"/>
          <w:docPartUnique/>
        </w:docPartObj>
      </w:sdtPr>
      <w:sdtEndPr/>
      <w:sdtContent>
        <w:r w:rsidR="00B242AD">
          <w:fldChar w:fldCharType="begin"/>
        </w:r>
        <w:r w:rsidR="00B242AD">
          <w:instrText>PAGE   \* MERGEFORMAT</w:instrText>
        </w:r>
        <w:r w:rsidR="00B242AD">
          <w:fldChar w:fldCharType="separate"/>
        </w:r>
        <w:r w:rsidR="00BD7968">
          <w:rPr>
            <w:noProof/>
          </w:rPr>
          <w:t>4</w:t>
        </w:r>
        <w:r w:rsidR="00B242AD">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3EB" w:rsidRDefault="00AD43EB" w:rsidP="00FF7747">
      <w:r>
        <w:separator/>
      </w:r>
    </w:p>
  </w:footnote>
  <w:footnote w:type="continuationSeparator" w:id="0">
    <w:p w:rsidR="00AD43EB" w:rsidRDefault="00AD43EB" w:rsidP="00FF7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522" w:rsidRPr="007B1F6E" w:rsidRDefault="009C6522" w:rsidP="00637554">
    <w:pPr>
      <w:jc w:val="center"/>
      <w:rPr>
        <w:iCs/>
        <w:sz w:val="19"/>
        <w:szCs w:val="19"/>
        <w:u w:val="single"/>
      </w:rPr>
    </w:pPr>
    <w:r w:rsidRPr="007B1F6E">
      <w:rPr>
        <w:iCs/>
        <w:u w:val="single"/>
      </w:rPr>
      <w:t xml:space="preserve">E. </w:t>
    </w:r>
    <w:r w:rsidR="00637554" w:rsidRPr="007B1F6E">
      <w:rPr>
        <w:iCs/>
        <w:u w:val="single"/>
      </w:rPr>
      <w:t>Zásady organizace výstavby</w:t>
    </w:r>
    <w:r w:rsidRPr="007B1F6E">
      <w:rPr>
        <w:iCs/>
        <w:sz w:val="23"/>
        <w:szCs w:val="19"/>
        <w:u w:val="single"/>
      </w:rPr>
      <w:t xml:space="preserve"> </w:t>
    </w:r>
    <w:r w:rsidRPr="007B1F6E">
      <w:rPr>
        <w:iCs/>
        <w:sz w:val="19"/>
        <w:szCs w:val="19"/>
        <w:u w:val="single"/>
      </w:rPr>
      <w:t xml:space="preserve">– </w:t>
    </w:r>
    <w:sdt>
      <w:sdtPr>
        <w:rPr>
          <w:u w:val="single"/>
        </w:rPr>
        <w:alias w:val="Podtitul"/>
        <w:id w:val="706610662"/>
        <w:dataBinding w:prefixMappings="xmlns:ns0='http://schemas.openxmlformats.org/package/2006/metadata/core-properties' xmlns:ns1='http://purl.org/dc/elements/1.1/'" w:xpath="/ns0:coreProperties[1]/ns1:subject[1]" w:storeItemID="{6C3C8BC8-F283-45AE-878A-BAB7291924A1}"/>
        <w:text/>
      </w:sdtPr>
      <w:sdtEndPr/>
      <w:sdtContent>
        <w:r w:rsidR="00B242AD">
          <w:rPr>
            <w:u w:val="single"/>
          </w:rPr>
          <w:t>Komunikace – Podnikatelský park Milevsko</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E04427"/>
    <w:multiLevelType w:val="hybridMultilevel"/>
    <w:tmpl w:val="5B36B1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1430DCF"/>
    <w:multiLevelType w:val="hybridMultilevel"/>
    <w:tmpl w:val="D2826AEE"/>
    <w:lvl w:ilvl="0" w:tplc="0B96DD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7A8"/>
    <w:rsid w:val="00001D27"/>
    <w:rsid w:val="000050F0"/>
    <w:rsid w:val="00006473"/>
    <w:rsid w:val="00043DDE"/>
    <w:rsid w:val="000856C1"/>
    <w:rsid w:val="000D27A3"/>
    <w:rsid w:val="000E664D"/>
    <w:rsid w:val="000F293D"/>
    <w:rsid w:val="000F4989"/>
    <w:rsid w:val="00104D99"/>
    <w:rsid w:val="00142262"/>
    <w:rsid w:val="001522BE"/>
    <w:rsid w:val="001955E6"/>
    <w:rsid w:val="001C37F2"/>
    <w:rsid w:val="001C71E6"/>
    <w:rsid w:val="001D3A38"/>
    <w:rsid w:val="002074D3"/>
    <w:rsid w:val="00271405"/>
    <w:rsid w:val="00292203"/>
    <w:rsid w:val="002B4377"/>
    <w:rsid w:val="002C4FB4"/>
    <w:rsid w:val="002D4294"/>
    <w:rsid w:val="00303F54"/>
    <w:rsid w:val="00304848"/>
    <w:rsid w:val="003515D4"/>
    <w:rsid w:val="00375ADB"/>
    <w:rsid w:val="003B1D10"/>
    <w:rsid w:val="003C0739"/>
    <w:rsid w:val="003C303B"/>
    <w:rsid w:val="004648BA"/>
    <w:rsid w:val="004C0BFA"/>
    <w:rsid w:val="004D2BC2"/>
    <w:rsid w:val="005027C1"/>
    <w:rsid w:val="00503D0B"/>
    <w:rsid w:val="0050470D"/>
    <w:rsid w:val="005A5EC6"/>
    <w:rsid w:val="005B4ED1"/>
    <w:rsid w:val="00612F39"/>
    <w:rsid w:val="00637554"/>
    <w:rsid w:val="00646D31"/>
    <w:rsid w:val="006561C2"/>
    <w:rsid w:val="00670B3B"/>
    <w:rsid w:val="00671270"/>
    <w:rsid w:val="0067785C"/>
    <w:rsid w:val="006A10A7"/>
    <w:rsid w:val="006E0C59"/>
    <w:rsid w:val="006E2038"/>
    <w:rsid w:val="006E3EEC"/>
    <w:rsid w:val="007023D7"/>
    <w:rsid w:val="00715114"/>
    <w:rsid w:val="00767DB7"/>
    <w:rsid w:val="007824CD"/>
    <w:rsid w:val="00784FF3"/>
    <w:rsid w:val="007A59ED"/>
    <w:rsid w:val="007B1F6E"/>
    <w:rsid w:val="00817501"/>
    <w:rsid w:val="00846BDE"/>
    <w:rsid w:val="008C2C9C"/>
    <w:rsid w:val="008C3801"/>
    <w:rsid w:val="008C4DB1"/>
    <w:rsid w:val="0095158A"/>
    <w:rsid w:val="0096562F"/>
    <w:rsid w:val="009657C1"/>
    <w:rsid w:val="009814E0"/>
    <w:rsid w:val="009C17A8"/>
    <w:rsid w:val="009C6522"/>
    <w:rsid w:val="00A24504"/>
    <w:rsid w:val="00A25F06"/>
    <w:rsid w:val="00A3531E"/>
    <w:rsid w:val="00A7004B"/>
    <w:rsid w:val="00A91811"/>
    <w:rsid w:val="00A9312F"/>
    <w:rsid w:val="00A97A34"/>
    <w:rsid w:val="00AD43EB"/>
    <w:rsid w:val="00B10C77"/>
    <w:rsid w:val="00B242AD"/>
    <w:rsid w:val="00B3319A"/>
    <w:rsid w:val="00B47C68"/>
    <w:rsid w:val="00BD7968"/>
    <w:rsid w:val="00C062EE"/>
    <w:rsid w:val="00C0640A"/>
    <w:rsid w:val="00C20373"/>
    <w:rsid w:val="00C70D55"/>
    <w:rsid w:val="00C92D92"/>
    <w:rsid w:val="00D05973"/>
    <w:rsid w:val="00D06BE9"/>
    <w:rsid w:val="00D22629"/>
    <w:rsid w:val="00D83667"/>
    <w:rsid w:val="00DC00D1"/>
    <w:rsid w:val="00DD3558"/>
    <w:rsid w:val="00E02A0C"/>
    <w:rsid w:val="00E15690"/>
    <w:rsid w:val="00E62027"/>
    <w:rsid w:val="00EB18B1"/>
    <w:rsid w:val="00EE4441"/>
    <w:rsid w:val="00F24984"/>
    <w:rsid w:val="00F34BA0"/>
    <w:rsid w:val="00F43425"/>
    <w:rsid w:val="00F520CA"/>
    <w:rsid w:val="00F753CB"/>
    <w:rsid w:val="00FB2D88"/>
    <w:rsid w:val="00FB5628"/>
    <w:rsid w:val="00FC550D"/>
    <w:rsid w:val="00FD07EA"/>
    <w:rsid w:val="00FF77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AE1007-CCA6-4462-89C8-0F00AB85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7747"/>
    <w:pPr>
      <w:autoSpaceDE w:val="0"/>
      <w:autoSpaceDN w:val="0"/>
      <w:adjustRightInd w:val="0"/>
      <w:spacing w:after="0"/>
      <w:ind w:firstLine="426"/>
      <w:jc w:val="both"/>
    </w:pPr>
    <w:rPr>
      <w:rFonts w:ascii="Arial" w:hAnsi="Arial" w:cs="Arial"/>
    </w:rPr>
  </w:style>
  <w:style w:type="paragraph" w:styleId="Nadpis1">
    <w:name w:val="heading 1"/>
    <w:basedOn w:val="Normln"/>
    <w:next w:val="Normln"/>
    <w:link w:val="Nadpis1Char"/>
    <w:uiPriority w:val="9"/>
    <w:qFormat/>
    <w:rsid w:val="009C17A8"/>
    <w:pPr>
      <w:keepNext/>
      <w:keepLines/>
      <w:numPr>
        <w:numId w:val="2"/>
      </w:numPr>
      <w:spacing w:before="48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2074D3"/>
    <w:pPr>
      <w:keepNext/>
      <w:keepLines/>
      <w:spacing w:before="240" w:after="240" w:line="240" w:lineRule="auto"/>
      <w:ind w:left="397" w:hanging="397"/>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1C71E6"/>
    <w:pPr>
      <w:keepNext/>
      <w:keepLines/>
      <w:spacing w:before="320" w:after="120" w:line="240" w:lineRule="auto"/>
      <w:ind w:left="708"/>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C17A8"/>
    <w:pPr>
      <w:ind w:left="720"/>
      <w:contextualSpacing/>
    </w:pPr>
  </w:style>
  <w:style w:type="character" w:customStyle="1" w:styleId="Nadpis1Char">
    <w:name w:val="Nadpis 1 Char"/>
    <w:basedOn w:val="Standardnpsmoodstavce"/>
    <w:link w:val="Nadpis1"/>
    <w:uiPriority w:val="9"/>
    <w:rsid w:val="009C17A8"/>
    <w:rPr>
      <w:rFonts w:ascii="Arial" w:eastAsiaTheme="majorEastAsia" w:hAnsi="Arial" w:cstheme="majorBidi"/>
      <w:b/>
      <w:bCs/>
      <w:color w:val="000000" w:themeColor="text1"/>
      <w:sz w:val="28"/>
      <w:szCs w:val="28"/>
    </w:rPr>
  </w:style>
  <w:style w:type="character" w:customStyle="1" w:styleId="Nadpis2Char">
    <w:name w:val="Nadpis 2 Char"/>
    <w:basedOn w:val="Standardnpsmoodstavce"/>
    <w:link w:val="Nadpis2"/>
    <w:uiPriority w:val="9"/>
    <w:rsid w:val="002074D3"/>
    <w:rPr>
      <w:rFonts w:ascii="Arial" w:eastAsiaTheme="majorEastAsia" w:hAnsi="Arial" w:cstheme="majorBidi"/>
      <w:b/>
      <w:bCs/>
      <w:color w:val="000000" w:themeColor="text1"/>
      <w:sz w:val="24"/>
      <w:szCs w:val="26"/>
    </w:rPr>
  </w:style>
  <w:style w:type="paragraph" w:styleId="Nadpisobsahu">
    <w:name w:val="TOC Heading"/>
    <w:basedOn w:val="Nadpis1"/>
    <w:next w:val="Normln"/>
    <w:uiPriority w:val="39"/>
    <w:semiHidden/>
    <w:unhideWhenUsed/>
    <w:qFormat/>
    <w:rsid w:val="001955E6"/>
    <w:pPr>
      <w:numPr>
        <w:numId w:val="0"/>
      </w:numPr>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qFormat/>
    <w:rsid w:val="001955E6"/>
    <w:pPr>
      <w:spacing w:after="100"/>
    </w:pPr>
  </w:style>
  <w:style w:type="paragraph" w:styleId="Obsah2">
    <w:name w:val="toc 2"/>
    <w:basedOn w:val="Normln"/>
    <w:next w:val="Normln"/>
    <w:autoRedefine/>
    <w:uiPriority w:val="39"/>
    <w:unhideWhenUsed/>
    <w:qFormat/>
    <w:rsid w:val="001955E6"/>
    <w:pPr>
      <w:tabs>
        <w:tab w:val="right" w:leader="dot" w:pos="9062"/>
      </w:tabs>
      <w:spacing w:after="100"/>
      <w:ind w:left="220"/>
    </w:pPr>
  </w:style>
  <w:style w:type="character" w:styleId="Hypertextovodkaz">
    <w:name w:val="Hyperlink"/>
    <w:basedOn w:val="Standardnpsmoodstavce"/>
    <w:uiPriority w:val="99"/>
    <w:unhideWhenUsed/>
    <w:rsid w:val="001955E6"/>
    <w:rPr>
      <w:color w:val="0000FF" w:themeColor="hyperlink"/>
      <w:u w:val="single"/>
    </w:rPr>
  </w:style>
  <w:style w:type="paragraph" w:styleId="Textbubliny">
    <w:name w:val="Balloon Text"/>
    <w:basedOn w:val="Normln"/>
    <w:link w:val="TextbublinyChar"/>
    <w:uiPriority w:val="99"/>
    <w:semiHidden/>
    <w:unhideWhenUsed/>
    <w:rsid w:val="001955E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955E6"/>
    <w:rPr>
      <w:rFonts w:ascii="Tahoma" w:hAnsi="Tahoma" w:cs="Tahoma"/>
      <w:sz w:val="16"/>
      <w:szCs w:val="16"/>
    </w:rPr>
  </w:style>
  <w:style w:type="paragraph" w:styleId="Obsah3">
    <w:name w:val="toc 3"/>
    <w:basedOn w:val="Normln"/>
    <w:next w:val="Normln"/>
    <w:autoRedefine/>
    <w:uiPriority w:val="39"/>
    <w:unhideWhenUsed/>
    <w:qFormat/>
    <w:rsid w:val="002D4294"/>
    <w:pPr>
      <w:spacing w:after="100"/>
      <w:ind w:left="440"/>
    </w:pPr>
  </w:style>
  <w:style w:type="paragraph" w:styleId="Zhlav">
    <w:name w:val="header"/>
    <w:basedOn w:val="Normln"/>
    <w:link w:val="ZhlavChar"/>
    <w:uiPriority w:val="99"/>
    <w:unhideWhenUsed/>
    <w:rsid w:val="001C71E6"/>
    <w:pPr>
      <w:tabs>
        <w:tab w:val="center" w:pos="4536"/>
        <w:tab w:val="right" w:pos="9072"/>
      </w:tabs>
      <w:spacing w:line="240" w:lineRule="auto"/>
    </w:pPr>
  </w:style>
  <w:style w:type="character" w:customStyle="1" w:styleId="ZhlavChar">
    <w:name w:val="Záhlaví Char"/>
    <w:basedOn w:val="Standardnpsmoodstavce"/>
    <w:link w:val="Zhlav"/>
    <w:uiPriority w:val="99"/>
    <w:rsid w:val="001C71E6"/>
  </w:style>
  <w:style w:type="paragraph" w:styleId="Zpat">
    <w:name w:val="footer"/>
    <w:basedOn w:val="Normln"/>
    <w:link w:val="ZpatChar"/>
    <w:uiPriority w:val="99"/>
    <w:unhideWhenUsed/>
    <w:rsid w:val="001C71E6"/>
    <w:pPr>
      <w:tabs>
        <w:tab w:val="center" w:pos="4536"/>
        <w:tab w:val="right" w:pos="9072"/>
      </w:tabs>
      <w:spacing w:line="240" w:lineRule="auto"/>
    </w:pPr>
  </w:style>
  <w:style w:type="character" w:customStyle="1" w:styleId="ZpatChar">
    <w:name w:val="Zápatí Char"/>
    <w:basedOn w:val="Standardnpsmoodstavce"/>
    <w:link w:val="Zpat"/>
    <w:uiPriority w:val="99"/>
    <w:rsid w:val="001C71E6"/>
  </w:style>
  <w:style w:type="character" w:customStyle="1" w:styleId="Nadpis3Char">
    <w:name w:val="Nadpis 3 Char"/>
    <w:basedOn w:val="Standardnpsmoodstavce"/>
    <w:link w:val="Nadpis3"/>
    <w:uiPriority w:val="9"/>
    <w:rsid w:val="001C71E6"/>
    <w:rPr>
      <w:rFonts w:ascii="Arial" w:eastAsiaTheme="majorEastAsia" w:hAnsi="Arial" w:cstheme="majorBidi"/>
      <w:b/>
      <w:bCs/>
    </w:rPr>
  </w:style>
  <w:style w:type="paragraph" w:styleId="Bezmezer">
    <w:name w:val="No Spacing"/>
    <w:link w:val="BezmezerChar"/>
    <w:uiPriority w:val="1"/>
    <w:qFormat/>
    <w:rsid w:val="001C37F2"/>
    <w:pPr>
      <w:spacing w:after="0" w:line="240" w:lineRule="auto"/>
    </w:pPr>
  </w:style>
  <w:style w:type="character" w:customStyle="1" w:styleId="BezmezerChar">
    <w:name w:val="Bez mezer Char"/>
    <w:basedOn w:val="Standardnpsmoodstavce"/>
    <w:link w:val="Bezmezer"/>
    <w:uiPriority w:val="1"/>
    <w:rsid w:val="001C37F2"/>
    <w:rPr>
      <w:rFonts w:eastAsiaTheme="minorEastAsia"/>
    </w:rPr>
  </w:style>
  <w:style w:type="character" w:styleId="Siln">
    <w:name w:val="Strong"/>
    <w:basedOn w:val="Standardnpsmoodstavce"/>
    <w:uiPriority w:val="22"/>
    <w:qFormat/>
    <w:rsid w:val="00EB1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2019-01-31T00:00:00</PublishDate>
  <Abstract>Building-Investment, s.r.o., arch.Dubského 387, 38601 Strakonice, www.build-in.cz, tel: 602 145 242, 731 406 007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1256BA-498B-43C9-BA4A-510629AFF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1501</Words>
  <Characters>8861</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E.1 Textová část (ZOV)</vt:lpstr>
    </vt:vector>
  </TitlesOfParts>
  <Company>BUILDING-INVESTMENT S.R.O., PROJEKTOVÁ KANCELÁŘ POZEMNÍCH A DOPRAVNÍCH STAVEB</Company>
  <LinksUpToDate>false</LinksUpToDate>
  <CharactersWithSpaces>10342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E.1 Textová část (ZOV)</dc:title>
  <dc:subject>Komunikace – Podnikatelský park Milevsko</dc:subject>
  <dc:creator>Bc. Jakub Jeništa, DiS.</dc:creator>
  <cp:lastModifiedBy>Holenek</cp:lastModifiedBy>
  <cp:revision>36</cp:revision>
  <cp:lastPrinted>2019-06-18T21:38:00Z</cp:lastPrinted>
  <dcterms:created xsi:type="dcterms:W3CDTF">2011-11-02T20:12:00Z</dcterms:created>
  <dcterms:modified xsi:type="dcterms:W3CDTF">2019-06-18T21:46:00Z</dcterms:modified>
</cp:coreProperties>
</file>